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2A88E" w14:textId="77777777" w:rsidR="00EC3AF9" w:rsidRPr="00EC3AF9" w:rsidRDefault="00EC3AF9" w:rsidP="00EC3AF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proofErr w:type="spellStart"/>
      <w:r w:rsidRPr="00EC3AF9">
        <w:rPr>
          <w:bCs/>
          <w:sz w:val="22"/>
          <w:szCs w:val="22"/>
        </w:rPr>
        <w:t>sacytuzumab</w:t>
      </w:r>
      <w:proofErr w:type="spellEnd"/>
      <w:r w:rsidRPr="00EC3AF9">
        <w:rPr>
          <w:bCs/>
          <w:sz w:val="22"/>
          <w:szCs w:val="22"/>
        </w:rPr>
        <w:t xml:space="preserve"> </w:t>
      </w:r>
      <w:proofErr w:type="spellStart"/>
      <w:r w:rsidRPr="00EC3AF9">
        <w:rPr>
          <w:bCs/>
          <w:sz w:val="22"/>
          <w:szCs w:val="22"/>
        </w:rPr>
        <w:t>gowitekan</w:t>
      </w:r>
      <w:proofErr w:type="spellEnd"/>
    </w:p>
    <w:p w14:paraId="61076F65" w14:textId="77777777" w:rsidR="00EC3AF9" w:rsidRPr="00EC3AF9" w:rsidRDefault="00EC3AF9" w:rsidP="00EC3AF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5737AB58" w14:textId="47E5D529" w:rsidR="00523C92" w:rsidRPr="00EC3AF9" w:rsidRDefault="00EC3AF9" w:rsidP="009406DD">
      <w:pPr>
        <w:autoSpaceDE w:val="0"/>
        <w:autoSpaceDN w:val="0"/>
        <w:adjustRightInd w:val="0"/>
        <w:spacing w:after="240"/>
        <w:jc w:val="both"/>
        <w:rPr>
          <w:rFonts w:ascii="Courier New" w:hAnsi="Courier New"/>
          <w:sz w:val="28"/>
          <w:szCs w:val="28"/>
        </w:rPr>
      </w:pPr>
      <w:r w:rsidRPr="00EC3AF9">
        <w:rPr>
          <w:b/>
          <w:sz w:val="28"/>
          <w:szCs w:val="28"/>
        </w:rPr>
        <w:t>LECZENIE DOROSŁYCH PACJENTÓW Z NIERESEKCYJNYM LUB PRZERZUTOWYM POTRÓJNIE UJEMNYM RAKIEM PIERSI (ICD-10: C50)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1"/>
        <w:gridCol w:w="4279"/>
        <w:gridCol w:w="5042"/>
      </w:tblGrid>
      <w:tr w:rsidR="00565830" w:rsidRPr="00966F29" w14:paraId="7B66CDCC" w14:textId="77777777" w:rsidTr="002803BD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532B4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803BD" w:rsidRPr="00966F29" w14:paraId="26BDAA2F" w14:textId="77777777" w:rsidTr="002803BD">
        <w:trPr>
          <w:trHeight w:val="567"/>
        </w:trPr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203F8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F1A7C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="002803BD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7D547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="002803BD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2803BD" w:rsidRPr="00966F29" w14:paraId="23726558" w14:textId="77777777" w:rsidTr="002803BD">
        <w:trPr>
          <w:trHeight w:val="20"/>
        </w:trPr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EBFC" w14:textId="7CE44991" w:rsidR="00A87743" w:rsidRPr="00A87743" w:rsidRDefault="00A87743" w:rsidP="00A87743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87743">
              <w:rPr>
                <w:b/>
                <w:bCs/>
                <w:sz w:val="20"/>
                <w:szCs w:val="20"/>
              </w:rPr>
              <w:t xml:space="preserve">Leczenie przerzutowego raka </w:t>
            </w:r>
            <w:proofErr w:type="spellStart"/>
            <w:r w:rsidRPr="00A87743">
              <w:rPr>
                <w:b/>
                <w:bCs/>
                <w:sz w:val="20"/>
                <w:szCs w:val="20"/>
              </w:rPr>
              <w:t>piersiw</w:t>
            </w:r>
            <w:proofErr w:type="spellEnd"/>
            <w:r w:rsidRPr="00A87743">
              <w:rPr>
                <w:b/>
                <w:bCs/>
                <w:sz w:val="20"/>
                <w:szCs w:val="20"/>
              </w:rPr>
              <w:t xml:space="preserve"> monoterapii z </w:t>
            </w:r>
            <w:proofErr w:type="spellStart"/>
            <w:r w:rsidRPr="00A87743">
              <w:rPr>
                <w:b/>
                <w:bCs/>
                <w:sz w:val="20"/>
                <w:szCs w:val="20"/>
              </w:rPr>
              <w:t>nieresekcyjnym</w:t>
            </w:r>
            <w:proofErr w:type="spellEnd"/>
            <w:r w:rsidRPr="00A87743">
              <w:rPr>
                <w:b/>
                <w:bCs/>
                <w:sz w:val="20"/>
                <w:szCs w:val="20"/>
              </w:rPr>
              <w:t xml:space="preserve"> lub przerzutowym potrójnie ujemnym rakiem piersi (III linia leczenia – dla pacjentów, którzy wcześniej otrzymali co najmniej dwie linie leczenia systemowego, w tym co najmniej jedną w zaawansowanej chorobie.</w:t>
            </w:r>
          </w:p>
          <w:p w14:paraId="3A24F1DC" w14:textId="4D9FD966" w:rsidR="00406654" w:rsidRPr="008D56CD" w:rsidRDefault="00565830" w:rsidP="008D56CD">
            <w:pPr>
              <w:pStyle w:val="Akapitzlist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56CD">
              <w:rPr>
                <w:b/>
                <w:bCs/>
                <w:sz w:val="20"/>
                <w:szCs w:val="20"/>
              </w:rPr>
              <w:t>Kryteria</w:t>
            </w:r>
            <w:r w:rsidR="002803BD" w:rsidRPr="008D56CD">
              <w:rPr>
                <w:b/>
                <w:bCs/>
                <w:sz w:val="20"/>
                <w:szCs w:val="20"/>
              </w:rPr>
              <w:t xml:space="preserve"> </w:t>
            </w:r>
            <w:r w:rsidRPr="008D56CD">
              <w:rPr>
                <w:b/>
                <w:bCs/>
                <w:sz w:val="20"/>
                <w:szCs w:val="20"/>
              </w:rPr>
              <w:t>kwalifikacji</w:t>
            </w:r>
          </w:p>
          <w:p w14:paraId="1F5B1C5A" w14:textId="053E92C5" w:rsidR="002B6FEE" w:rsidRPr="008D56CD" w:rsidRDefault="00EC3AF9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wiek powyżej 18 roku życia</w:t>
            </w:r>
            <w:r w:rsidR="002B6FEE" w:rsidRPr="008D56CD">
              <w:rPr>
                <w:sz w:val="20"/>
                <w:szCs w:val="20"/>
              </w:rPr>
              <w:t>;</w:t>
            </w:r>
          </w:p>
          <w:p w14:paraId="055B60E5" w14:textId="12CEF680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histologicznie lub cytologicznie potwierdzone TNBC (brak receptorów estrogenowych [ER-], brak receptorów </w:t>
            </w:r>
            <w:proofErr w:type="spellStart"/>
            <w:r w:rsidRPr="008D56CD">
              <w:rPr>
                <w:sz w:val="20"/>
                <w:szCs w:val="20"/>
              </w:rPr>
              <w:t>progesteronowych</w:t>
            </w:r>
            <w:proofErr w:type="spellEnd"/>
            <w:r w:rsidRPr="008D56CD">
              <w:rPr>
                <w:sz w:val="20"/>
                <w:szCs w:val="20"/>
              </w:rPr>
              <w:t xml:space="preserve"> [PR-] i brakiem </w:t>
            </w:r>
            <w:proofErr w:type="spellStart"/>
            <w:r w:rsidRPr="008D56CD">
              <w:rPr>
                <w:sz w:val="20"/>
                <w:szCs w:val="20"/>
              </w:rPr>
              <w:t>nadekspresji</w:t>
            </w:r>
            <w:proofErr w:type="spellEnd"/>
            <w:r w:rsidRPr="008D56CD">
              <w:rPr>
                <w:sz w:val="20"/>
                <w:szCs w:val="20"/>
              </w:rPr>
              <w:t xml:space="preserve"> HER-2 [HER2-]) w</w:t>
            </w:r>
            <w:r w:rsidR="00552791" w:rsidRPr="008D56CD">
              <w:rPr>
                <w:sz w:val="20"/>
                <w:szCs w:val="20"/>
              </w:rPr>
              <w:t> </w:t>
            </w:r>
            <w:r w:rsidRPr="008D56CD">
              <w:rPr>
                <w:sz w:val="20"/>
                <w:szCs w:val="20"/>
              </w:rPr>
              <w:t>ostatniej biopsji lub innej próbce patologicznej (potrójnie negatywny został zdefiniowany jako &lt;1% ekspresji dla ER i PR oraz HER2- przez hybrydyzację in-situ);</w:t>
            </w:r>
          </w:p>
          <w:p w14:paraId="1DA0ED83" w14:textId="77777777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lastRenderedPageBreak/>
              <w:t>choroba przerzutowa lub miejscowo zaawansowana;</w:t>
            </w:r>
          </w:p>
          <w:p w14:paraId="41C47688" w14:textId="715F10A7" w:rsidR="002B6FEE" w:rsidRPr="008D56CD" w:rsidRDefault="00A87743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A87743">
              <w:rPr>
                <w:sz w:val="20"/>
                <w:szCs w:val="20"/>
              </w:rPr>
              <w:t>becność zmian chorobowych możliwych do oceny wg. kryteriów RECIST 1.1</w:t>
            </w:r>
            <w:r w:rsidR="002B6FEE" w:rsidRPr="008D56CD">
              <w:rPr>
                <w:sz w:val="20"/>
                <w:szCs w:val="20"/>
              </w:rPr>
              <w:t>.;</w:t>
            </w:r>
          </w:p>
          <w:p w14:paraId="2904253C" w14:textId="79460835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stabiln</w:t>
            </w:r>
            <w:r w:rsidR="00EC3AF9" w:rsidRPr="008D56CD">
              <w:rPr>
                <w:sz w:val="20"/>
                <w:szCs w:val="20"/>
              </w:rPr>
              <w:t>a</w:t>
            </w:r>
            <w:r w:rsidRPr="008D56CD">
              <w:rPr>
                <w:sz w:val="20"/>
                <w:szCs w:val="20"/>
              </w:rPr>
              <w:t xml:space="preserve"> chorob</w:t>
            </w:r>
            <w:r w:rsidR="00EC3AF9" w:rsidRPr="008D56CD">
              <w:rPr>
                <w:sz w:val="20"/>
                <w:szCs w:val="20"/>
              </w:rPr>
              <w:t>a</w:t>
            </w:r>
            <w:r w:rsidRPr="008D56CD">
              <w:rPr>
                <w:sz w:val="20"/>
                <w:szCs w:val="20"/>
              </w:rPr>
              <w:t xml:space="preserve"> ośrodkowego układu nerwowego od co najmniej 4 tygodni przed planowanym podaniem leku, określoną na podstawie MRI</w:t>
            </w:r>
            <w:r w:rsidR="00EC3AF9" w:rsidRPr="008D56CD">
              <w:rPr>
                <w:sz w:val="20"/>
                <w:szCs w:val="20"/>
              </w:rPr>
              <w:t xml:space="preserve"> (s</w:t>
            </w:r>
            <w:r w:rsidRPr="008D56CD">
              <w:rPr>
                <w:sz w:val="20"/>
                <w:szCs w:val="20"/>
              </w:rPr>
              <w:t>tan stabilny definiuje się jako: wcześniejsze miejscowe leczenie radioterapią, chirurgią lub chirurgią stereotaktyczną; stabilny lub zmniejszający się rozmiar guza w</w:t>
            </w:r>
            <w:r w:rsidR="00552791" w:rsidRPr="008D56CD">
              <w:rPr>
                <w:sz w:val="20"/>
                <w:szCs w:val="20"/>
              </w:rPr>
              <w:t> </w:t>
            </w:r>
            <w:r w:rsidRPr="008D56CD">
              <w:rPr>
                <w:sz w:val="20"/>
                <w:szCs w:val="20"/>
              </w:rPr>
              <w:t>badaniu obrazowym po leczeniu miejscowym; nieprzyjmowanie leków przeciwpadaczkowych przez co najmniej 2 tygodnie; w</w:t>
            </w:r>
            <w:r w:rsidR="00552791" w:rsidRPr="008D56CD">
              <w:rPr>
                <w:sz w:val="20"/>
                <w:szCs w:val="20"/>
              </w:rPr>
              <w:t> </w:t>
            </w:r>
            <w:r w:rsidRPr="008D56CD">
              <w:rPr>
                <w:sz w:val="20"/>
                <w:szCs w:val="20"/>
              </w:rPr>
              <w:t xml:space="preserve">przypadku przyjmowania kortykosteroidów dawka była stała lub była zmniejszana przez min. 2 tygodnie przed planowanym podaniem leku (dawka wynosiła ≤20 mg </w:t>
            </w:r>
            <w:proofErr w:type="spellStart"/>
            <w:r w:rsidRPr="008D56CD">
              <w:rPr>
                <w:sz w:val="20"/>
                <w:szCs w:val="20"/>
              </w:rPr>
              <w:t>prednizonu</w:t>
            </w:r>
            <w:proofErr w:type="spellEnd"/>
            <w:r w:rsidRPr="008D56CD">
              <w:rPr>
                <w:sz w:val="20"/>
                <w:szCs w:val="20"/>
              </w:rPr>
              <w:t>/</w:t>
            </w:r>
            <w:proofErr w:type="spellStart"/>
            <w:r w:rsidRPr="008D56CD">
              <w:rPr>
                <w:sz w:val="20"/>
                <w:szCs w:val="20"/>
              </w:rPr>
              <w:t>prednizolonu</w:t>
            </w:r>
            <w:proofErr w:type="spellEnd"/>
            <w:r w:rsidRPr="008D56CD">
              <w:rPr>
                <w:sz w:val="20"/>
                <w:szCs w:val="20"/>
              </w:rPr>
              <w:t xml:space="preserve"> na dobę lub innego odpowiednika steroidu)</w:t>
            </w:r>
            <w:r w:rsidR="00EC3AF9" w:rsidRPr="008D56CD">
              <w:rPr>
                <w:sz w:val="20"/>
                <w:szCs w:val="20"/>
              </w:rPr>
              <w:t>)</w:t>
            </w:r>
            <w:r w:rsidRPr="008D56CD">
              <w:rPr>
                <w:sz w:val="20"/>
                <w:szCs w:val="20"/>
              </w:rPr>
              <w:t>;</w:t>
            </w:r>
          </w:p>
          <w:p w14:paraId="1F1542DE" w14:textId="06E879D5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muszą minąć co najmniej 2 tygodnie od podania ogólnoustrojowych kortykosteroidów w dużych dawkach (dozwolone były kortykosteroidy w małych dawkach ≤20 mg </w:t>
            </w:r>
            <w:proofErr w:type="spellStart"/>
            <w:r w:rsidRPr="008D56CD">
              <w:rPr>
                <w:sz w:val="20"/>
                <w:szCs w:val="20"/>
              </w:rPr>
              <w:t>prednizonu</w:t>
            </w:r>
            <w:proofErr w:type="spellEnd"/>
            <w:r w:rsidRPr="008D56CD">
              <w:rPr>
                <w:sz w:val="20"/>
                <w:szCs w:val="20"/>
              </w:rPr>
              <w:t xml:space="preserve"> lub jego odpowiednika na dobę, pod warunkiem, że dawka była stała przez 4</w:t>
            </w:r>
            <w:r w:rsidR="00552791" w:rsidRPr="008D56CD">
              <w:rPr>
                <w:sz w:val="20"/>
                <w:szCs w:val="20"/>
              </w:rPr>
              <w:t> </w:t>
            </w:r>
            <w:r w:rsidRPr="008D56CD">
              <w:rPr>
                <w:sz w:val="20"/>
                <w:szCs w:val="20"/>
              </w:rPr>
              <w:t>tygodnie);</w:t>
            </w:r>
          </w:p>
          <w:p w14:paraId="0DB310D9" w14:textId="70007B3A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choroba oporna lub nawrotowa po co najmniej 2 wcześniejszych terapiach, w tym </w:t>
            </w:r>
            <w:proofErr w:type="spellStart"/>
            <w:r w:rsidRPr="008D56CD">
              <w:rPr>
                <w:sz w:val="20"/>
                <w:szCs w:val="20"/>
              </w:rPr>
              <w:t>taksanem</w:t>
            </w:r>
            <w:proofErr w:type="spellEnd"/>
            <w:r w:rsidRPr="008D56CD">
              <w:rPr>
                <w:sz w:val="20"/>
                <w:szCs w:val="20"/>
              </w:rPr>
              <w:t xml:space="preserve"> w dowolnym schemacie (pacjenci, którzy nie tolerowali lub mieli przeciwwskazane podawanie taksów mogą być kwalifikowani do programu) (w przypadku bardziej ograniczonej choroby wymagane było wcześniejsze leczenie uzupełniające lub </w:t>
            </w:r>
            <w:proofErr w:type="spellStart"/>
            <w:r w:rsidRPr="008D56CD">
              <w:rPr>
                <w:sz w:val="20"/>
                <w:szCs w:val="20"/>
              </w:rPr>
              <w:t>neoadiuwantowe</w:t>
            </w:r>
            <w:proofErr w:type="spellEnd"/>
            <w:r w:rsidRPr="008D56CD">
              <w:rPr>
                <w:sz w:val="20"/>
                <w:szCs w:val="20"/>
              </w:rPr>
              <w:t>, jeśli rozwój nieoperacyjnej, miejscowo zaawansowanej lub przerzutowej choroby wystąpił w ciągu 12</w:t>
            </w:r>
            <w:r w:rsidR="00552791" w:rsidRPr="008D56CD">
              <w:rPr>
                <w:sz w:val="20"/>
                <w:szCs w:val="20"/>
              </w:rPr>
              <w:t> </w:t>
            </w:r>
            <w:r w:rsidRPr="008D56CD">
              <w:rPr>
                <w:sz w:val="20"/>
                <w:szCs w:val="20"/>
              </w:rPr>
              <w:t>miesięcy od zakończenia chemioterapii);</w:t>
            </w:r>
          </w:p>
          <w:p w14:paraId="299A1246" w14:textId="77777777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status ≤1 wg </w:t>
            </w:r>
            <w:proofErr w:type="spellStart"/>
            <w:r w:rsidRPr="008D56CD">
              <w:rPr>
                <w:sz w:val="20"/>
                <w:szCs w:val="20"/>
              </w:rPr>
              <w:t>Eastern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Cooperative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Oncology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Group</w:t>
            </w:r>
            <w:proofErr w:type="spellEnd"/>
            <w:r w:rsidRPr="008D56CD">
              <w:rPr>
                <w:sz w:val="20"/>
                <w:szCs w:val="20"/>
              </w:rPr>
              <w:t xml:space="preserve"> (ECOG);</w:t>
            </w:r>
          </w:p>
          <w:p w14:paraId="16BBDF2C" w14:textId="77777777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średnia długość życia ≥3 miesięcy;</w:t>
            </w:r>
          </w:p>
          <w:p w14:paraId="406D695C" w14:textId="77777777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wyniki badania morfologii krwi (bez wspomagania transfuzją):</w:t>
            </w:r>
          </w:p>
          <w:p w14:paraId="406FC81D" w14:textId="77777777" w:rsidR="002B6FEE" w:rsidRPr="008D56CD" w:rsidRDefault="002B6FEE" w:rsidP="008D56CD">
            <w:pPr>
              <w:numPr>
                <w:ilvl w:val="4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hemoglobina &gt;9 g/dl,</w:t>
            </w:r>
          </w:p>
          <w:p w14:paraId="1B5CC446" w14:textId="77777777" w:rsidR="002B6FEE" w:rsidRPr="008D56CD" w:rsidRDefault="002B6FEE" w:rsidP="008D56CD">
            <w:pPr>
              <w:numPr>
                <w:ilvl w:val="4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bezwzględna liczba neutrofili &gt;1500 komórek/</w:t>
            </w:r>
            <w:proofErr w:type="spellStart"/>
            <w:r w:rsidRPr="008D56CD">
              <w:rPr>
                <w:sz w:val="20"/>
                <w:szCs w:val="20"/>
              </w:rPr>
              <w:t>μl</w:t>
            </w:r>
            <w:proofErr w:type="spellEnd"/>
            <w:r w:rsidRPr="008D56CD">
              <w:rPr>
                <w:sz w:val="20"/>
                <w:szCs w:val="20"/>
              </w:rPr>
              <w:t>,</w:t>
            </w:r>
          </w:p>
          <w:p w14:paraId="50E26CB2" w14:textId="77777777" w:rsidR="002B6FEE" w:rsidRPr="008D56CD" w:rsidRDefault="002B6FEE" w:rsidP="008D56CD">
            <w:pPr>
              <w:numPr>
                <w:ilvl w:val="4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płytki krwi &gt;100 000 komórek/</w:t>
            </w:r>
            <w:proofErr w:type="spellStart"/>
            <w:r w:rsidRPr="008D56CD">
              <w:rPr>
                <w:sz w:val="20"/>
                <w:szCs w:val="20"/>
              </w:rPr>
              <w:t>μl</w:t>
            </w:r>
            <w:proofErr w:type="spellEnd"/>
            <w:r w:rsidRPr="008D56CD">
              <w:rPr>
                <w:sz w:val="20"/>
                <w:szCs w:val="20"/>
              </w:rPr>
              <w:t>;</w:t>
            </w:r>
          </w:p>
          <w:p w14:paraId="1970DC82" w14:textId="77777777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wskaźniki czynności wątroby i nerek:</w:t>
            </w:r>
          </w:p>
          <w:p w14:paraId="19C813A9" w14:textId="77777777" w:rsidR="002B6FEE" w:rsidRPr="008D56CD" w:rsidRDefault="002B6FEE" w:rsidP="008D56CD">
            <w:pPr>
              <w:numPr>
                <w:ilvl w:val="4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8D56CD">
              <w:rPr>
                <w:sz w:val="20"/>
                <w:szCs w:val="20"/>
              </w:rPr>
              <w:lastRenderedPageBreak/>
              <w:t>klirens</w:t>
            </w:r>
            <w:proofErr w:type="spellEnd"/>
            <w:r w:rsidRPr="008D56CD">
              <w:rPr>
                <w:sz w:val="20"/>
                <w:szCs w:val="20"/>
              </w:rPr>
              <w:t xml:space="preserve"> kreatyniny &gt;60 ml/min,</w:t>
            </w:r>
          </w:p>
          <w:p w14:paraId="2BA70938" w14:textId="77777777" w:rsidR="002B6FEE" w:rsidRPr="008D56CD" w:rsidRDefault="002B6FEE" w:rsidP="008D56CD">
            <w:pPr>
              <w:numPr>
                <w:ilvl w:val="4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bilirubina ≤1,5 X GGN,</w:t>
            </w:r>
          </w:p>
          <w:p w14:paraId="4219867B" w14:textId="77777777" w:rsidR="002B6FEE" w:rsidRPr="008D56CD" w:rsidRDefault="002B6FEE" w:rsidP="008D56CD">
            <w:pPr>
              <w:numPr>
                <w:ilvl w:val="4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AST i ALT ≤2,5X GGN lub ≤5X GGN, jeśli znane są przerzuty do wątroby,</w:t>
            </w:r>
          </w:p>
          <w:p w14:paraId="6848EE0E" w14:textId="77777777" w:rsidR="002B6FEE" w:rsidRPr="008D56CD" w:rsidRDefault="002B6FEE" w:rsidP="008D56CD">
            <w:pPr>
              <w:numPr>
                <w:ilvl w:val="4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albumina w surowicy ≥3 g/dl;</w:t>
            </w:r>
          </w:p>
          <w:p w14:paraId="50E172F7" w14:textId="1928D973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toksyczność działań ubocznych stopnia ≤ 1. według </w:t>
            </w:r>
            <w:proofErr w:type="spellStart"/>
            <w:r w:rsidRPr="008D56CD">
              <w:rPr>
                <w:sz w:val="20"/>
                <w:szCs w:val="20"/>
              </w:rPr>
              <w:t>Common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Terminology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Criteria</w:t>
            </w:r>
            <w:proofErr w:type="spellEnd"/>
            <w:r w:rsidRPr="008D56CD">
              <w:rPr>
                <w:sz w:val="20"/>
                <w:szCs w:val="20"/>
              </w:rPr>
              <w:t xml:space="preserve"> for </w:t>
            </w:r>
            <w:proofErr w:type="spellStart"/>
            <w:r w:rsidRPr="008D56CD">
              <w:rPr>
                <w:sz w:val="20"/>
                <w:szCs w:val="20"/>
              </w:rPr>
              <w:t>Adverse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Events</w:t>
            </w:r>
            <w:proofErr w:type="spellEnd"/>
            <w:r w:rsidRPr="008D56CD">
              <w:rPr>
                <w:sz w:val="20"/>
                <w:szCs w:val="20"/>
              </w:rPr>
              <w:t xml:space="preserve"> (CTCAE) v4.0, z</w:t>
            </w:r>
            <w:r w:rsidR="00552791" w:rsidRPr="008D56CD">
              <w:rPr>
                <w:sz w:val="20"/>
                <w:szCs w:val="20"/>
              </w:rPr>
              <w:t> </w:t>
            </w:r>
            <w:r w:rsidRPr="008D56CD">
              <w:rPr>
                <w:sz w:val="20"/>
                <w:szCs w:val="20"/>
              </w:rPr>
              <w:t>wyjątkiem łysienia i ≤ 2. stopnia neuropatii obwodowej</w:t>
            </w:r>
            <w:r w:rsidR="00CB64FE" w:rsidRPr="008D56CD">
              <w:rPr>
                <w:sz w:val="20"/>
                <w:szCs w:val="20"/>
              </w:rPr>
              <w:t>;</w:t>
            </w:r>
          </w:p>
          <w:p w14:paraId="40066C6E" w14:textId="4F2ABD22" w:rsidR="002B6FEE" w:rsidRPr="008D56CD" w:rsidRDefault="002B6FEE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pacjent ukończył wszystkie wcześniejsze terapie przeciwnowotworowe co najmniej 2 tygodnie przed planowanym podaniem pierwszej dawki leku. Wcześniejsze leczenie przeciwnowotworowe przeciwciałami musi zostać zakończone co najmniej 3 tygodnie przed.</w:t>
            </w:r>
          </w:p>
          <w:p w14:paraId="35A6AF92" w14:textId="77777777" w:rsidR="00CB64FE" w:rsidRPr="008D56CD" w:rsidRDefault="00CB64FE" w:rsidP="008D56CD">
            <w:pPr>
              <w:tabs>
                <w:tab w:val="left" w:pos="851"/>
              </w:tabs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185126BA" w14:textId="38FC3677" w:rsidR="00C47AD0" w:rsidRPr="008D56CD" w:rsidRDefault="00E621D7" w:rsidP="008D56CD">
            <w:pPr>
              <w:pStyle w:val="Akapitzlist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56CD">
              <w:rPr>
                <w:b/>
                <w:bCs/>
                <w:sz w:val="20"/>
                <w:szCs w:val="20"/>
              </w:rPr>
              <w:t>K</w:t>
            </w:r>
            <w:r w:rsidR="00C47AD0" w:rsidRPr="008D56CD">
              <w:rPr>
                <w:b/>
                <w:bCs/>
                <w:sz w:val="20"/>
                <w:szCs w:val="20"/>
              </w:rPr>
              <w:t>ryteria wykluczenia</w:t>
            </w:r>
            <w:r w:rsidRPr="008D56CD">
              <w:rPr>
                <w:b/>
                <w:bCs/>
                <w:sz w:val="20"/>
                <w:szCs w:val="20"/>
              </w:rPr>
              <w:t>:</w:t>
            </w:r>
          </w:p>
          <w:p w14:paraId="251322A9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ciąża lub karmienie piersią;</w:t>
            </w:r>
          </w:p>
          <w:p w14:paraId="6A256F1B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niechęć do stosowania wysoce skutecznej antykoncepcji podczas przyjmowania leku i do 3 miesięcy po przerwaniu leczenia u kobiet w wieku rozrodczym i 6 miesięcy u mężczyzn po ostatnim podaniu leku;</w:t>
            </w:r>
          </w:p>
          <w:p w14:paraId="3924441D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obecność przerzutów wyłącznie w kościach;</w:t>
            </w:r>
          </w:p>
          <w:p w14:paraId="3F55D631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choroba Gilberta;</w:t>
            </w:r>
          </w:p>
          <w:p w14:paraId="5B06DE7B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pacjenci z wcześniejszymi nowotworami złośliwymi musieli mieć co najmniej 3-letni okres wolny od choroby (wyjątek stanowią </w:t>
            </w:r>
            <w:proofErr w:type="spellStart"/>
            <w:r w:rsidRPr="008D56CD">
              <w:rPr>
                <w:sz w:val="20"/>
                <w:szCs w:val="20"/>
              </w:rPr>
              <w:t>nieczerniakowy</w:t>
            </w:r>
            <w:proofErr w:type="spellEnd"/>
            <w:r w:rsidRPr="008D56CD">
              <w:rPr>
                <w:sz w:val="20"/>
                <w:szCs w:val="20"/>
              </w:rPr>
              <w:t xml:space="preserve"> rak skóry lub rak szyjki macicy in situ);</w:t>
            </w:r>
          </w:p>
          <w:p w14:paraId="3191F5DE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zakażenie wirusem HIV;</w:t>
            </w:r>
          </w:p>
          <w:p w14:paraId="47920FAD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zakażenie wirusem zapalenia wątroby typu B lub C;</w:t>
            </w:r>
          </w:p>
          <w:p w14:paraId="49704B5F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wcześniejsze leczenie </w:t>
            </w:r>
            <w:proofErr w:type="spellStart"/>
            <w:r w:rsidRPr="008D56CD">
              <w:rPr>
                <w:sz w:val="20"/>
                <w:szCs w:val="20"/>
              </w:rPr>
              <w:t>irynotekanem</w:t>
            </w:r>
            <w:proofErr w:type="spellEnd"/>
            <w:r w:rsidRPr="008D56CD">
              <w:rPr>
                <w:sz w:val="20"/>
                <w:szCs w:val="20"/>
              </w:rPr>
              <w:t>;</w:t>
            </w:r>
          </w:p>
          <w:p w14:paraId="74084816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niestabilna dusznica bolesna, zawał mięśnia sercowego lub zastoinowa niewydolność serca występująca w ciągu 6 miesięcy od planowanego podania leku lub klinicznie istotna arytmia serca (inna niż stabilne migotanie przedsionków) wymagające leczenia </w:t>
            </w:r>
            <w:proofErr w:type="spellStart"/>
            <w:r w:rsidRPr="008D56CD">
              <w:rPr>
                <w:sz w:val="20"/>
                <w:szCs w:val="20"/>
              </w:rPr>
              <w:t>przeciwarytmicznego</w:t>
            </w:r>
            <w:proofErr w:type="spellEnd"/>
            <w:r w:rsidRPr="008D56CD">
              <w:rPr>
                <w:sz w:val="20"/>
                <w:szCs w:val="20"/>
              </w:rPr>
              <w:t>;</w:t>
            </w:r>
          </w:p>
          <w:p w14:paraId="7CC26641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lastRenderedPageBreak/>
              <w:t>klinicznie istotna czynna przewlekła obturacyjna choroba płuc lub inna przewlekła choroba układu oddechowego o nasileniu umiarkowanym do ciężkiego obecna w ciągu 6 miesięcy od planowanego podania leku;</w:t>
            </w:r>
          </w:p>
          <w:p w14:paraId="48D9CBF7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klinicznie istotne krwawienie, niedrożność jelit lub perforacja przewodu pokarmowego w ciągu 6 miesięcy od planowanego podania leku;</w:t>
            </w:r>
          </w:p>
          <w:p w14:paraId="6672A269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zakażenie wymagające dożylnego podania antybiotyku;</w:t>
            </w:r>
          </w:p>
          <w:p w14:paraId="56CD949F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aktywna przewlekła choroba zapalna jelit (wrzodziejące zapalenie jelita grubego, choroba </w:t>
            </w:r>
            <w:proofErr w:type="spellStart"/>
            <w:r w:rsidRPr="008D56CD">
              <w:rPr>
                <w:sz w:val="20"/>
                <w:szCs w:val="20"/>
              </w:rPr>
              <w:t>Leśniowskiego-Crohna</w:t>
            </w:r>
            <w:proofErr w:type="spellEnd"/>
            <w:r w:rsidRPr="008D56CD">
              <w:rPr>
                <w:sz w:val="20"/>
                <w:szCs w:val="20"/>
              </w:rPr>
              <w:t>);</w:t>
            </w:r>
          </w:p>
          <w:p w14:paraId="27CB88FB" w14:textId="77777777" w:rsidR="00D82650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otrzymanie żywej szczepionki w ciągu 30 dni od planowanego podania leku;</w:t>
            </w:r>
          </w:p>
          <w:p w14:paraId="3D1F53B7" w14:textId="6684DF92" w:rsidR="00E621D7" w:rsidRPr="008D56CD" w:rsidRDefault="00D82650" w:rsidP="008D56CD">
            <w:pPr>
              <w:numPr>
                <w:ilvl w:val="3"/>
                <w:numId w:val="71"/>
              </w:numPr>
              <w:tabs>
                <w:tab w:val="left" w:pos="851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gwałtowne pogorszenie stanu podczas kwalifikacji do programu (np. znaczna zmiana stanu sprawności, ≥20%-</w:t>
            </w:r>
            <w:proofErr w:type="spellStart"/>
            <w:r w:rsidRPr="008D56CD">
              <w:rPr>
                <w:sz w:val="20"/>
                <w:szCs w:val="20"/>
              </w:rPr>
              <w:t>owy</w:t>
            </w:r>
            <w:proofErr w:type="spellEnd"/>
            <w:r w:rsidRPr="008D56CD">
              <w:rPr>
                <w:sz w:val="20"/>
                <w:szCs w:val="20"/>
              </w:rPr>
              <w:t xml:space="preserve"> spadek stężenia albumin w surowicy, niestabilne objawy bólowe wymagające modyfikacji w postępowaniu przeciwbólowym).</w:t>
            </w:r>
          </w:p>
          <w:p w14:paraId="59B411EE" w14:textId="646CFFC8" w:rsidR="0033120A" w:rsidRPr="008D56CD" w:rsidRDefault="0033120A" w:rsidP="008D56C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B69D7" w14:textId="032A8479" w:rsidR="00196B54" w:rsidRPr="008D56CD" w:rsidRDefault="00C47AD0" w:rsidP="008D56CD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120" w:after="60" w:line="276" w:lineRule="auto"/>
              <w:ind w:right="2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56CD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620158D0" w14:textId="2E669C6A" w:rsidR="00D25AD2" w:rsidRPr="008D56CD" w:rsidRDefault="00CB64FE" w:rsidP="008D56CD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Dawka </w:t>
            </w:r>
            <w:proofErr w:type="spellStart"/>
            <w:r w:rsidRPr="008D56CD">
              <w:rPr>
                <w:sz w:val="20"/>
                <w:szCs w:val="20"/>
              </w:rPr>
              <w:t>sacytuzumabu</w:t>
            </w:r>
            <w:proofErr w:type="spellEnd"/>
            <w:r w:rsidRPr="008D56CD">
              <w:rPr>
                <w:sz w:val="20"/>
                <w:szCs w:val="20"/>
              </w:rPr>
              <w:t xml:space="preserve"> gowitekanu,:10 mg/kg mc. podawanego w infuzji dożylnej w 21-dniowych cyklach leczenia raz w tygodniu w dniu 1. oraz dniu 8.</w:t>
            </w:r>
          </w:p>
          <w:p w14:paraId="23BA5BE6" w14:textId="055771B1" w:rsidR="00C47AD0" w:rsidRDefault="00C47AD0" w:rsidP="008D56CD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Szczegółowe warunki stosowania</w:t>
            </w:r>
            <w:r w:rsidR="00CB64FE" w:rsidRPr="008D56CD">
              <w:rPr>
                <w:sz w:val="20"/>
                <w:szCs w:val="20"/>
              </w:rPr>
              <w:t xml:space="preserve"> zgodnie z Charakterystyką Produktu Leczniczego.</w:t>
            </w:r>
          </w:p>
          <w:p w14:paraId="06B154CB" w14:textId="77777777" w:rsidR="00C117B1" w:rsidRPr="008D56CD" w:rsidRDefault="00C117B1" w:rsidP="008D56CD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</w:p>
          <w:p w14:paraId="175EACB9" w14:textId="77777777" w:rsidR="00CB64FE" w:rsidRPr="008D56CD" w:rsidRDefault="00CB64FE" w:rsidP="008D56CD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56CD">
              <w:rPr>
                <w:b/>
                <w:bCs/>
                <w:sz w:val="20"/>
                <w:szCs w:val="20"/>
              </w:rPr>
              <w:t>Czas leczenia</w:t>
            </w:r>
          </w:p>
          <w:p w14:paraId="578C040A" w14:textId="736DD3BC" w:rsidR="008C7AEB" w:rsidRPr="008D56CD" w:rsidRDefault="00CB64FE" w:rsidP="008D56CD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 z programu</w:t>
            </w:r>
            <w:r w:rsidRPr="008D56CD">
              <w:rPr>
                <w:sz w:val="20"/>
                <w:szCs w:val="20"/>
              </w:rPr>
              <w:t>.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438EB" w14:textId="5C7D7F40" w:rsidR="00647AA3" w:rsidRPr="008D56CD" w:rsidRDefault="00693A9C" w:rsidP="008D56CD">
            <w:pPr>
              <w:pStyle w:val="Akapitzlist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56CD">
              <w:rPr>
                <w:b/>
                <w:bCs/>
                <w:sz w:val="20"/>
                <w:szCs w:val="20"/>
              </w:rPr>
              <w:t>Badania</w:t>
            </w:r>
            <w:r w:rsidR="002803BD" w:rsidRPr="008D56CD">
              <w:rPr>
                <w:b/>
                <w:bCs/>
                <w:sz w:val="20"/>
                <w:szCs w:val="20"/>
              </w:rPr>
              <w:t xml:space="preserve"> </w:t>
            </w:r>
            <w:r w:rsidRPr="008D56CD">
              <w:rPr>
                <w:b/>
                <w:bCs/>
                <w:sz w:val="20"/>
                <w:szCs w:val="20"/>
              </w:rPr>
              <w:t>przy</w:t>
            </w:r>
            <w:r w:rsidR="002803BD" w:rsidRPr="008D56CD">
              <w:rPr>
                <w:b/>
                <w:bCs/>
                <w:sz w:val="20"/>
                <w:szCs w:val="20"/>
              </w:rPr>
              <w:t xml:space="preserve"> </w:t>
            </w:r>
            <w:r w:rsidRPr="008D56CD">
              <w:rPr>
                <w:b/>
                <w:bCs/>
                <w:sz w:val="20"/>
                <w:szCs w:val="20"/>
              </w:rPr>
              <w:t>kwalifikacji</w:t>
            </w:r>
            <w:r w:rsidR="002803BD" w:rsidRPr="008D56CD">
              <w:rPr>
                <w:b/>
                <w:bCs/>
                <w:sz w:val="20"/>
                <w:szCs w:val="20"/>
              </w:rPr>
              <w:t xml:space="preserve"> </w:t>
            </w:r>
            <w:r w:rsidRPr="008D56CD">
              <w:rPr>
                <w:b/>
                <w:bCs/>
                <w:sz w:val="20"/>
                <w:szCs w:val="20"/>
              </w:rPr>
              <w:t>do</w:t>
            </w:r>
            <w:r w:rsidR="002803BD" w:rsidRPr="008D56CD">
              <w:rPr>
                <w:b/>
                <w:bCs/>
                <w:sz w:val="20"/>
                <w:szCs w:val="20"/>
              </w:rPr>
              <w:t xml:space="preserve"> </w:t>
            </w:r>
            <w:r w:rsidRPr="008D56CD">
              <w:rPr>
                <w:b/>
                <w:bCs/>
                <w:sz w:val="20"/>
                <w:szCs w:val="20"/>
              </w:rPr>
              <w:t>leczenia</w:t>
            </w:r>
            <w:r w:rsidR="00647AA3" w:rsidRPr="008D56CD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E88CF04" w14:textId="34C61A30" w:rsidR="007C4363" w:rsidRPr="008D56CD" w:rsidRDefault="007C4363" w:rsidP="008D56CD">
            <w:pPr>
              <w:pStyle w:val="Akapitzlist"/>
              <w:numPr>
                <w:ilvl w:val="3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badania potwierdzające potrójnie ujemnego raka piersi (ang. </w:t>
            </w:r>
            <w:proofErr w:type="spellStart"/>
            <w:r w:rsidRPr="008D56CD">
              <w:rPr>
                <w:sz w:val="20"/>
                <w:szCs w:val="20"/>
              </w:rPr>
              <w:t>metastatic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triple-negative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breast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cancer</w:t>
            </w:r>
            <w:proofErr w:type="spellEnd"/>
            <w:r w:rsidRPr="008D56CD">
              <w:rPr>
                <w:sz w:val="20"/>
                <w:szCs w:val="20"/>
              </w:rPr>
              <w:t xml:space="preserve">, </w:t>
            </w:r>
            <w:proofErr w:type="spellStart"/>
            <w:r w:rsidRPr="008D56CD">
              <w:rPr>
                <w:sz w:val="20"/>
                <w:szCs w:val="20"/>
              </w:rPr>
              <w:t>mTNBC</w:t>
            </w:r>
            <w:proofErr w:type="spellEnd"/>
            <w:r w:rsidRPr="008D56CD">
              <w:rPr>
                <w:sz w:val="20"/>
                <w:szCs w:val="20"/>
              </w:rPr>
              <w:t>); tj. ujemne receptory HER2, estrogenowy (ER) i</w:t>
            </w:r>
            <w:r w:rsidR="00776189" w:rsidRPr="008D56CD">
              <w:rPr>
                <w:sz w:val="20"/>
                <w:szCs w:val="20"/>
              </w:rPr>
              <w:t> </w:t>
            </w:r>
            <w:proofErr w:type="spellStart"/>
            <w:r w:rsidRPr="008D56CD">
              <w:rPr>
                <w:sz w:val="20"/>
                <w:szCs w:val="20"/>
              </w:rPr>
              <w:t>progesteronowy</w:t>
            </w:r>
            <w:proofErr w:type="spellEnd"/>
            <w:r w:rsidRPr="008D56CD">
              <w:rPr>
                <w:sz w:val="20"/>
                <w:szCs w:val="20"/>
              </w:rPr>
              <w:t xml:space="preserve"> (</w:t>
            </w:r>
            <w:proofErr w:type="spellStart"/>
            <w:r w:rsidRPr="008D56CD">
              <w:rPr>
                <w:sz w:val="20"/>
                <w:szCs w:val="20"/>
              </w:rPr>
              <w:t>PgR</w:t>
            </w:r>
            <w:proofErr w:type="spellEnd"/>
            <w:r w:rsidRPr="008D56CD">
              <w:rPr>
                <w:sz w:val="20"/>
                <w:szCs w:val="20"/>
              </w:rPr>
              <w:t>)</w:t>
            </w:r>
            <w:r w:rsidR="00CB64FE" w:rsidRPr="008D56CD">
              <w:rPr>
                <w:sz w:val="20"/>
                <w:szCs w:val="20"/>
              </w:rPr>
              <w:t>;</w:t>
            </w:r>
          </w:p>
          <w:p w14:paraId="4CB66E9F" w14:textId="2000BD0D" w:rsidR="007C4363" w:rsidRPr="008D56CD" w:rsidRDefault="007C4363" w:rsidP="008D56CD">
            <w:pPr>
              <w:pStyle w:val="Akapitzlist"/>
              <w:numPr>
                <w:ilvl w:val="3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badania dla kobiet w wieku rozrodczym mające potwierdzić lub wykluczyć ciążę.</w:t>
            </w:r>
          </w:p>
          <w:p w14:paraId="57616B12" w14:textId="77777777" w:rsidR="00CB64FE" w:rsidRPr="008D56CD" w:rsidRDefault="00CB64FE" w:rsidP="008D56C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F6DDC04" w14:textId="0287156B" w:rsidR="00647AA3" w:rsidRPr="008D56CD" w:rsidRDefault="00693A9C" w:rsidP="008D56CD">
            <w:pPr>
              <w:pStyle w:val="Akapitzlist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56CD">
              <w:rPr>
                <w:b/>
                <w:bCs/>
                <w:sz w:val="20"/>
                <w:szCs w:val="20"/>
              </w:rPr>
              <w:lastRenderedPageBreak/>
              <w:t>Monitorowanie</w:t>
            </w:r>
            <w:r w:rsidR="002803BD" w:rsidRPr="008D56CD">
              <w:rPr>
                <w:b/>
                <w:bCs/>
                <w:sz w:val="20"/>
                <w:szCs w:val="20"/>
              </w:rPr>
              <w:t xml:space="preserve"> </w:t>
            </w:r>
            <w:r w:rsidRPr="008D56CD">
              <w:rPr>
                <w:b/>
                <w:bCs/>
                <w:sz w:val="20"/>
                <w:szCs w:val="20"/>
              </w:rPr>
              <w:t>leczenia</w:t>
            </w:r>
          </w:p>
          <w:p w14:paraId="0F448539" w14:textId="1A237FAB" w:rsidR="00121D48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K</w:t>
            </w:r>
            <w:r w:rsidR="00281AD1" w:rsidRPr="008D56CD">
              <w:rPr>
                <w:sz w:val="20"/>
                <w:szCs w:val="20"/>
              </w:rPr>
              <w:t xml:space="preserve">ażdorazowo objawy przedmiotowe lub podmiotowe związane z infuzją oraz jej szybkość podczas jej trwania oraz przez co najmniej 30 minut po jej zakończeniu. Jeśli u pacjenta wystąpi reakcja związana z infuzją, szybkość infuzji </w:t>
            </w:r>
            <w:proofErr w:type="spellStart"/>
            <w:r w:rsidR="00281AD1" w:rsidRPr="008D56CD">
              <w:rPr>
                <w:sz w:val="20"/>
                <w:szCs w:val="20"/>
              </w:rPr>
              <w:t>sacytuzumabu</w:t>
            </w:r>
            <w:proofErr w:type="spellEnd"/>
            <w:r w:rsidR="00281AD1" w:rsidRPr="008D56CD">
              <w:rPr>
                <w:sz w:val="20"/>
                <w:szCs w:val="20"/>
              </w:rPr>
              <w:t xml:space="preserve"> </w:t>
            </w:r>
            <w:proofErr w:type="spellStart"/>
            <w:r w:rsidR="00281AD1" w:rsidRPr="008D56CD">
              <w:rPr>
                <w:sz w:val="20"/>
                <w:szCs w:val="20"/>
              </w:rPr>
              <w:t>gowitekanu</w:t>
            </w:r>
            <w:proofErr w:type="spellEnd"/>
            <w:r w:rsidR="00281AD1" w:rsidRPr="008D56CD">
              <w:rPr>
                <w:sz w:val="20"/>
                <w:szCs w:val="20"/>
              </w:rPr>
              <w:t xml:space="preserve"> należy zmniejszyć lub należy przerwać infuzję.</w:t>
            </w:r>
            <w:r w:rsidR="00121D48" w:rsidRPr="008D56CD">
              <w:rPr>
                <w:sz w:val="20"/>
                <w:szCs w:val="20"/>
              </w:rPr>
              <w:t xml:space="preserve"> W przypadku wystąpienia zagrażających życiu reakcji związanych z infuzją, należy trwale zaprzestać podawania leku. W związku z</w:t>
            </w:r>
            <w:r w:rsidR="00A7130B" w:rsidRPr="008D56CD">
              <w:rPr>
                <w:sz w:val="20"/>
                <w:szCs w:val="20"/>
              </w:rPr>
              <w:t> </w:t>
            </w:r>
            <w:r w:rsidR="00121D48" w:rsidRPr="008D56CD">
              <w:rPr>
                <w:sz w:val="20"/>
                <w:szCs w:val="20"/>
              </w:rPr>
              <w:t xml:space="preserve">wystąpieniem działań niepożądanych nie należy ponownie zwiększać dawki po jej zmniejszeniu. </w:t>
            </w:r>
          </w:p>
          <w:p w14:paraId="1FC37C01" w14:textId="277055D0" w:rsidR="00BE3E75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P</w:t>
            </w:r>
            <w:r w:rsidR="00121D48" w:rsidRPr="008D56CD">
              <w:rPr>
                <w:sz w:val="20"/>
                <w:szCs w:val="20"/>
              </w:rPr>
              <w:t xml:space="preserve">arametry charakteryzujące czynność wątroby (stężenie bilirubiny w surowicy, aktywności AspAT lub AlAT). Należy unikać stosowania </w:t>
            </w:r>
            <w:proofErr w:type="spellStart"/>
            <w:r w:rsidR="00121D48" w:rsidRPr="008D56CD">
              <w:rPr>
                <w:sz w:val="20"/>
                <w:szCs w:val="20"/>
              </w:rPr>
              <w:t>sacytuzumabu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</w:t>
            </w:r>
            <w:proofErr w:type="spellStart"/>
            <w:r w:rsidR="00121D48" w:rsidRPr="008D56CD">
              <w:rPr>
                <w:sz w:val="20"/>
                <w:szCs w:val="20"/>
              </w:rPr>
              <w:t>gowitekanu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u</w:t>
            </w:r>
            <w:r w:rsidR="00A7130B" w:rsidRPr="008D56CD">
              <w:rPr>
                <w:sz w:val="20"/>
                <w:szCs w:val="20"/>
              </w:rPr>
              <w:t> </w:t>
            </w:r>
            <w:r w:rsidR="00121D48" w:rsidRPr="008D56CD">
              <w:rPr>
                <w:sz w:val="20"/>
                <w:szCs w:val="20"/>
              </w:rPr>
              <w:t>tych pacjentów u których stężenie bilirubiny w surowicy wynosi &gt; 1,5 GGN lub w przypadku aktywności AspAT lub AlAT &gt; 3 GGN u pacjentów bez przerzutów do wątroby, lub aktywności AspAT lub AlAT &gt; 5 GGN u</w:t>
            </w:r>
            <w:r w:rsidR="00A7130B" w:rsidRPr="008D56CD">
              <w:rPr>
                <w:sz w:val="20"/>
                <w:szCs w:val="20"/>
              </w:rPr>
              <w:t> </w:t>
            </w:r>
            <w:r w:rsidR="00121D48" w:rsidRPr="008D56CD">
              <w:rPr>
                <w:sz w:val="20"/>
                <w:szCs w:val="20"/>
              </w:rPr>
              <w:t xml:space="preserve">pacjentów z przerzutami do wątroby. </w:t>
            </w:r>
          </w:p>
          <w:p w14:paraId="7CAE3F79" w14:textId="4F56A26E" w:rsidR="00BE3E75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M</w:t>
            </w:r>
            <w:r w:rsidR="00121D48" w:rsidRPr="008D56CD">
              <w:rPr>
                <w:sz w:val="20"/>
                <w:szCs w:val="20"/>
              </w:rPr>
              <w:t xml:space="preserve">orfologię krwi (w tym liczbę neutrofili) zgodnie ze wskazaniami klinicznymi. </w:t>
            </w:r>
            <w:proofErr w:type="spellStart"/>
            <w:r w:rsidR="00121D48" w:rsidRPr="008D56CD">
              <w:rPr>
                <w:sz w:val="20"/>
                <w:szCs w:val="20"/>
              </w:rPr>
              <w:t>Sacytuzumabu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</w:t>
            </w:r>
            <w:proofErr w:type="spellStart"/>
            <w:r w:rsidR="00121D48" w:rsidRPr="008D56CD">
              <w:rPr>
                <w:sz w:val="20"/>
                <w:szCs w:val="20"/>
              </w:rPr>
              <w:t>gowitekanu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nie należy podawać, jeśli bezwzględna liczba neutrofili wynosi poniżej 1500/mm3 w dniu 1. któregokolwiek cyklu lub jeśli liczba neutrofilii wynosi poniżej 1000/mm3 w</w:t>
            </w:r>
            <w:r w:rsidR="00A7130B" w:rsidRPr="008D56CD">
              <w:rPr>
                <w:sz w:val="20"/>
                <w:szCs w:val="20"/>
              </w:rPr>
              <w:t> </w:t>
            </w:r>
            <w:r w:rsidR="00121D48" w:rsidRPr="008D56CD">
              <w:rPr>
                <w:sz w:val="20"/>
                <w:szCs w:val="20"/>
              </w:rPr>
              <w:t xml:space="preserve">dniu 8. któregokolwiek cyklu, a także w przypadku gorączki </w:t>
            </w:r>
            <w:proofErr w:type="spellStart"/>
            <w:r w:rsidR="00121D48" w:rsidRPr="008D56CD">
              <w:rPr>
                <w:sz w:val="20"/>
                <w:szCs w:val="20"/>
              </w:rPr>
              <w:t>neutropenicznej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. W przypadku wystąpienia ciężkiej </w:t>
            </w:r>
            <w:proofErr w:type="spellStart"/>
            <w:r w:rsidR="00121D48" w:rsidRPr="008D56CD">
              <w:rPr>
                <w:sz w:val="20"/>
                <w:szCs w:val="20"/>
              </w:rPr>
              <w:t>neutropenii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może być konieczne leczenie czynnikiem stymulującym tworzenie kolonii granulocytów oraz zmiana dawkowania. </w:t>
            </w:r>
          </w:p>
          <w:p w14:paraId="20F8F98B" w14:textId="71B6D31C" w:rsidR="00BE3E75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O</w:t>
            </w:r>
            <w:r w:rsidR="00121D48" w:rsidRPr="008D56CD">
              <w:rPr>
                <w:sz w:val="20"/>
                <w:szCs w:val="20"/>
              </w:rPr>
              <w:t xml:space="preserve">bjawy wystąpienia biegunki. </w:t>
            </w:r>
            <w:proofErr w:type="spellStart"/>
            <w:r w:rsidR="00121D48" w:rsidRPr="008D56CD">
              <w:rPr>
                <w:sz w:val="20"/>
                <w:szCs w:val="20"/>
              </w:rPr>
              <w:t>Sacytuzumabu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</w:t>
            </w:r>
            <w:proofErr w:type="spellStart"/>
            <w:r w:rsidR="00121D48" w:rsidRPr="008D56CD">
              <w:rPr>
                <w:sz w:val="20"/>
                <w:szCs w:val="20"/>
              </w:rPr>
              <w:t>gowitekanu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nie należy podawać w przypadku biegunki stopnia 3.–4. </w:t>
            </w:r>
            <w:r w:rsidR="00A7130B" w:rsidRPr="008D56CD">
              <w:rPr>
                <w:sz w:val="20"/>
                <w:szCs w:val="20"/>
              </w:rPr>
              <w:lastRenderedPageBreak/>
              <w:t>W </w:t>
            </w:r>
            <w:r w:rsidR="00121D48" w:rsidRPr="008D56CD">
              <w:rPr>
                <w:sz w:val="20"/>
                <w:szCs w:val="20"/>
              </w:rPr>
              <w:t xml:space="preserve">czasie zaplanowanego leczenia, a leczenie należy kontynuować wyłącznie wówczas, gdy biegunka ustąpi do stopnia ≤ 1. Jeśli nie można wskazać zakaźnej przyczyny biegunki, należy rozpocząć leczenie </w:t>
            </w:r>
            <w:proofErr w:type="spellStart"/>
            <w:r w:rsidR="00121D48" w:rsidRPr="008D56CD">
              <w:rPr>
                <w:sz w:val="20"/>
                <w:szCs w:val="20"/>
              </w:rPr>
              <w:t>loperamidem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. Można również dodatkowo zastosować środki wspomagające (np. terapię zastępczą płynami i elektrolitami) według wskazań klinicznych. </w:t>
            </w:r>
          </w:p>
          <w:p w14:paraId="6CEB34E8" w14:textId="74528629" w:rsidR="00BE3E75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O</w:t>
            </w:r>
            <w:r w:rsidR="00121D48" w:rsidRPr="008D56CD">
              <w:rPr>
                <w:sz w:val="20"/>
                <w:szCs w:val="20"/>
              </w:rPr>
              <w:t xml:space="preserve">bjawy wystąpienia nadmiernej cholinergicznej odpowiedzi na leczenie (np. skurcze żołądka, biegunka, ślinotok, itp.). W takiej sytuacji pacjenci mogą otrzymać odpowiednie leczenie (np. atropinę) w kolejnych cyklach leczenia. </w:t>
            </w:r>
          </w:p>
          <w:p w14:paraId="08DDCC02" w14:textId="04A69E83" w:rsidR="00BE3E75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O</w:t>
            </w:r>
            <w:r w:rsidR="00121D48" w:rsidRPr="008D56CD">
              <w:rPr>
                <w:sz w:val="20"/>
                <w:szCs w:val="20"/>
              </w:rPr>
              <w:t xml:space="preserve">bjawy wystąpienia ewentualnych nudności lub wymiotów. </w:t>
            </w:r>
            <w:proofErr w:type="spellStart"/>
            <w:r w:rsidR="00121D48" w:rsidRPr="008D56CD">
              <w:rPr>
                <w:sz w:val="20"/>
                <w:szCs w:val="20"/>
              </w:rPr>
              <w:t>Sacytuzumabu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</w:t>
            </w:r>
            <w:proofErr w:type="spellStart"/>
            <w:r w:rsidR="00121D48" w:rsidRPr="008D56CD">
              <w:rPr>
                <w:sz w:val="20"/>
                <w:szCs w:val="20"/>
              </w:rPr>
              <w:t>gowitekanu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nie należy podawać w przypadku wystąpienia nudności stopnia 3. lub wymiotów stopnia 3.-4. w momencie zaplanowanego podania leczenia, a leczenie należy kontynuować wyłącznie wraz z podawaniem środków wspomagających, gdy nudności lub wymioty ustąpią do stopnia ≤ 1. Można również dodatkowo zastosować leki przeciwwymiotne oraz inne środki wspomagające według wskazań klinicznych. Wszyscy pacjenci powinni otrzymać produkty lecznicze, które mogą stosować w domu, z</w:t>
            </w:r>
            <w:r w:rsidR="00A7130B" w:rsidRPr="008D56CD">
              <w:rPr>
                <w:sz w:val="20"/>
                <w:szCs w:val="20"/>
              </w:rPr>
              <w:t> </w:t>
            </w:r>
            <w:r w:rsidR="00121D48" w:rsidRPr="008D56CD">
              <w:rPr>
                <w:sz w:val="20"/>
                <w:szCs w:val="20"/>
              </w:rPr>
              <w:t xml:space="preserve">dokładnymi instrukcjami dotyczącymi zapobiegania oraz leczenia nudności i wymiotów. </w:t>
            </w:r>
          </w:p>
          <w:p w14:paraId="4504FA48" w14:textId="4DD02DC1" w:rsidR="00BE3E75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W</w:t>
            </w:r>
            <w:r w:rsidR="00121D48" w:rsidRPr="008D56CD">
              <w:rPr>
                <w:sz w:val="20"/>
                <w:szCs w:val="20"/>
              </w:rPr>
              <w:t>ystąpienie działań niepożądanych, szczególnie u</w:t>
            </w:r>
            <w:r w:rsidR="00A7130B" w:rsidRPr="008D56CD">
              <w:rPr>
                <w:sz w:val="20"/>
                <w:szCs w:val="20"/>
              </w:rPr>
              <w:t> </w:t>
            </w:r>
            <w:r w:rsidR="00121D48" w:rsidRPr="008D56CD">
              <w:rPr>
                <w:sz w:val="20"/>
                <w:szCs w:val="20"/>
              </w:rPr>
              <w:t xml:space="preserve">pacjentów ze znaną zmniejszoną aktywnością transferazy </w:t>
            </w:r>
            <w:proofErr w:type="spellStart"/>
            <w:r w:rsidR="00121D48" w:rsidRPr="008D56CD">
              <w:rPr>
                <w:sz w:val="20"/>
                <w:szCs w:val="20"/>
              </w:rPr>
              <w:t>urydynowo-difosfoglukuronianowej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(UGT1A1). </w:t>
            </w:r>
          </w:p>
          <w:p w14:paraId="6CC10127" w14:textId="4B2ACB66" w:rsidR="00A7130B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lastRenderedPageBreak/>
              <w:t>P</w:t>
            </w:r>
            <w:r w:rsidR="00121D48" w:rsidRPr="008D56CD">
              <w:rPr>
                <w:sz w:val="20"/>
                <w:szCs w:val="20"/>
              </w:rPr>
              <w:t xml:space="preserve">odaż sodu w diecie, gdyż </w:t>
            </w:r>
            <w:proofErr w:type="spellStart"/>
            <w:r w:rsidR="00121D48" w:rsidRPr="008D56CD">
              <w:rPr>
                <w:sz w:val="20"/>
                <w:szCs w:val="20"/>
              </w:rPr>
              <w:t>sacytuzumabu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</w:t>
            </w:r>
            <w:proofErr w:type="spellStart"/>
            <w:r w:rsidR="00121D48" w:rsidRPr="008D56CD">
              <w:rPr>
                <w:sz w:val="20"/>
                <w:szCs w:val="20"/>
              </w:rPr>
              <w:t>gowitekan</w:t>
            </w:r>
            <w:proofErr w:type="spellEnd"/>
            <w:r w:rsidR="00121D48" w:rsidRPr="008D56CD">
              <w:rPr>
                <w:sz w:val="20"/>
                <w:szCs w:val="20"/>
              </w:rPr>
              <w:t xml:space="preserve"> jest przygotowywany do podania z roztworem zawierającym sód. </w:t>
            </w:r>
          </w:p>
          <w:p w14:paraId="5CC8F527" w14:textId="77777777" w:rsidR="00A7130B" w:rsidRPr="008D56CD" w:rsidRDefault="00121D48" w:rsidP="008D56C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 xml:space="preserve">Dodatkowo należy zachować ostrożność podczas stosowania </w:t>
            </w:r>
            <w:proofErr w:type="spellStart"/>
            <w:r w:rsidRPr="008D56CD">
              <w:rPr>
                <w:sz w:val="20"/>
                <w:szCs w:val="20"/>
              </w:rPr>
              <w:t>sacytuzumabu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gowitekanu</w:t>
            </w:r>
            <w:proofErr w:type="spellEnd"/>
            <w:r w:rsidRPr="008D56CD">
              <w:rPr>
                <w:sz w:val="20"/>
                <w:szCs w:val="20"/>
              </w:rPr>
              <w:t xml:space="preserve"> u pacjentów otrzymujących inhibitory UGT1A1 [np. </w:t>
            </w:r>
            <w:proofErr w:type="spellStart"/>
            <w:r w:rsidRPr="008D56CD">
              <w:rPr>
                <w:sz w:val="20"/>
                <w:szCs w:val="20"/>
              </w:rPr>
              <w:t>propofol</w:t>
            </w:r>
            <w:proofErr w:type="spellEnd"/>
            <w:r w:rsidRPr="008D56CD">
              <w:rPr>
                <w:sz w:val="20"/>
                <w:szCs w:val="20"/>
              </w:rPr>
              <w:t xml:space="preserve">, </w:t>
            </w:r>
            <w:proofErr w:type="spellStart"/>
            <w:r w:rsidRPr="008D56CD">
              <w:rPr>
                <w:sz w:val="20"/>
                <w:szCs w:val="20"/>
              </w:rPr>
              <w:t>ketokonazol</w:t>
            </w:r>
            <w:proofErr w:type="spellEnd"/>
            <w:r w:rsidRPr="008D56CD">
              <w:rPr>
                <w:sz w:val="20"/>
                <w:szCs w:val="20"/>
              </w:rPr>
              <w:t xml:space="preserve">, inhibitory kinazy tyrozynowej receptora naskórkowego czynnika wzrostu (ang. </w:t>
            </w:r>
            <w:proofErr w:type="spellStart"/>
            <w:r w:rsidRPr="008D56CD">
              <w:rPr>
                <w:sz w:val="20"/>
                <w:szCs w:val="20"/>
              </w:rPr>
              <w:t>epidermal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growth</w:t>
            </w:r>
            <w:proofErr w:type="spellEnd"/>
            <w:r w:rsidRPr="008D56CD">
              <w:rPr>
                <w:sz w:val="20"/>
                <w:szCs w:val="20"/>
              </w:rPr>
              <w:t xml:space="preserve"> </w:t>
            </w:r>
            <w:proofErr w:type="spellStart"/>
            <w:r w:rsidRPr="008D56CD">
              <w:rPr>
                <w:sz w:val="20"/>
                <w:szCs w:val="20"/>
              </w:rPr>
              <w:t>factor</w:t>
            </w:r>
            <w:proofErr w:type="spellEnd"/>
            <w:r w:rsidRPr="008D56CD">
              <w:rPr>
                <w:sz w:val="20"/>
                <w:szCs w:val="20"/>
              </w:rPr>
              <w:t xml:space="preserve"> receptor, EGFR)] oraz u pacjentów otrzymujących induktory UGT1A1 (np. karbamazepinę, fenytoinę, </w:t>
            </w:r>
            <w:proofErr w:type="spellStart"/>
            <w:r w:rsidRPr="008D56CD">
              <w:rPr>
                <w:sz w:val="20"/>
                <w:szCs w:val="20"/>
              </w:rPr>
              <w:t>ryfampicynę</w:t>
            </w:r>
            <w:proofErr w:type="spellEnd"/>
            <w:r w:rsidRPr="008D56CD">
              <w:rPr>
                <w:sz w:val="20"/>
                <w:szCs w:val="20"/>
              </w:rPr>
              <w:t xml:space="preserve">, </w:t>
            </w:r>
            <w:proofErr w:type="spellStart"/>
            <w:r w:rsidRPr="008D56CD">
              <w:rPr>
                <w:sz w:val="20"/>
                <w:szCs w:val="20"/>
              </w:rPr>
              <w:t>rytonawir</w:t>
            </w:r>
            <w:proofErr w:type="spellEnd"/>
            <w:r w:rsidRPr="008D56CD">
              <w:rPr>
                <w:sz w:val="20"/>
                <w:szCs w:val="20"/>
              </w:rPr>
              <w:t xml:space="preserve">, </w:t>
            </w:r>
            <w:proofErr w:type="spellStart"/>
            <w:r w:rsidRPr="008D56CD">
              <w:rPr>
                <w:sz w:val="20"/>
                <w:szCs w:val="20"/>
              </w:rPr>
              <w:t>typranawir</w:t>
            </w:r>
            <w:proofErr w:type="spellEnd"/>
            <w:r w:rsidRPr="008D56CD">
              <w:rPr>
                <w:sz w:val="20"/>
                <w:szCs w:val="20"/>
              </w:rPr>
              <w:t xml:space="preserve">). </w:t>
            </w:r>
          </w:p>
          <w:p w14:paraId="28412434" w14:textId="5B14ABB2" w:rsidR="00281AD1" w:rsidRPr="008D56CD" w:rsidRDefault="00121D48" w:rsidP="008D56C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Kobiety, które zajdą w ciążę w trakcie leczenia, muszą niezwłocznie skontaktować się z lekarzem.</w:t>
            </w:r>
          </w:p>
          <w:p w14:paraId="430BA4D4" w14:textId="77777777" w:rsidR="005866F0" w:rsidRPr="008D56CD" w:rsidRDefault="005866F0" w:rsidP="008D56C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64B89A5" w14:textId="30BF38B3" w:rsidR="00CD40F0" w:rsidRPr="008D56CD" w:rsidRDefault="00690FA9" w:rsidP="008D56CD">
            <w:pPr>
              <w:pStyle w:val="Akapitzlist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56C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2803BD" w:rsidRPr="008D56C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D56C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programu</w:t>
            </w:r>
          </w:p>
          <w:p w14:paraId="141E0BA4" w14:textId="5BD03A88" w:rsidR="00CD40F0" w:rsidRPr="008D56CD" w:rsidRDefault="00CD40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Ocena skuteczności</w:t>
            </w:r>
          </w:p>
          <w:p w14:paraId="0200281F" w14:textId="5E625FFA" w:rsidR="00CD40F0" w:rsidRPr="008D56CD" w:rsidRDefault="00CD40F0" w:rsidP="008D56CD">
            <w:pPr>
              <w:pStyle w:val="Akapitzlist"/>
              <w:numPr>
                <w:ilvl w:val="3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wskaźniki efektywności</w:t>
            </w:r>
            <w:r w:rsidR="005866F0" w:rsidRPr="008D56CD">
              <w:rPr>
                <w:sz w:val="20"/>
                <w:szCs w:val="20"/>
              </w:rPr>
              <w:t>:</w:t>
            </w:r>
          </w:p>
          <w:p w14:paraId="7037A7B9" w14:textId="5BEA1EE0" w:rsidR="007B407C" w:rsidRPr="008D56CD" w:rsidRDefault="005866F0" w:rsidP="008D56CD">
            <w:pPr>
              <w:pStyle w:val="Akapitzlist"/>
              <w:numPr>
                <w:ilvl w:val="4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ś</w:t>
            </w:r>
            <w:r w:rsidR="007B407C" w:rsidRPr="008D56CD">
              <w:rPr>
                <w:sz w:val="20"/>
                <w:szCs w:val="20"/>
              </w:rPr>
              <w:t>miertelność – przeżycie całkowite (OS) tj. czas od daty podania pierwszej dawki leku do daty zgonu z</w:t>
            </w:r>
            <w:r w:rsidR="00C57FFB" w:rsidRPr="008D56CD">
              <w:rPr>
                <w:sz w:val="20"/>
                <w:szCs w:val="20"/>
              </w:rPr>
              <w:t> </w:t>
            </w:r>
            <w:r w:rsidR="007B407C" w:rsidRPr="008D56CD">
              <w:rPr>
                <w:sz w:val="20"/>
                <w:szCs w:val="20"/>
              </w:rPr>
              <w:t>jakiejkolwiek przyczyny</w:t>
            </w:r>
            <w:r w:rsidRPr="008D56CD">
              <w:rPr>
                <w:sz w:val="20"/>
                <w:szCs w:val="20"/>
              </w:rPr>
              <w:t>,</w:t>
            </w:r>
          </w:p>
          <w:p w14:paraId="222A4A69" w14:textId="459D27B4" w:rsidR="007B407C" w:rsidRPr="008D56CD" w:rsidRDefault="005866F0" w:rsidP="008D56CD">
            <w:pPr>
              <w:pStyle w:val="Akapitzlist"/>
              <w:numPr>
                <w:ilvl w:val="4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p</w:t>
            </w:r>
            <w:r w:rsidR="007B407C" w:rsidRPr="008D56CD">
              <w:rPr>
                <w:sz w:val="20"/>
                <w:szCs w:val="20"/>
              </w:rPr>
              <w:t>rzeżycie bez progresji choroby (PFS) tj. czas od daty podania pierwszej dawki leku do daty pierwszej udokumentowanej progresji choroby lub zgonu z</w:t>
            </w:r>
            <w:r w:rsidR="00C57FFB" w:rsidRPr="008D56CD">
              <w:rPr>
                <w:sz w:val="20"/>
                <w:szCs w:val="20"/>
              </w:rPr>
              <w:t> </w:t>
            </w:r>
            <w:r w:rsidR="007B407C" w:rsidRPr="008D56CD">
              <w:rPr>
                <w:sz w:val="20"/>
                <w:szCs w:val="20"/>
              </w:rPr>
              <w:t>jakiejkolwiek przyczyny</w:t>
            </w:r>
            <w:r w:rsidRPr="008D56CD">
              <w:rPr>
                <w:sz w:val="20"/>
                <w:szCs w:val="20"/>
              </w:rPr>
              <w:t>,</w:t>
            </w:r>
          </w:p>
          <w:p w14:paraId="3B30E038" w14:textId="26AC8A86" w:rsidR="007B407C" w:rsidRPr="008D56CD" w:rsidRDefault="005866F0" w:rsidP="008D56CD">
            <w:pPr>
              <w:pStyle w:val="Akapitzlist"/>
              <w:numPr>
                <w:ilvl w:val="4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w</w:t>
            </w:r>
            <w:r w:rsidR="007B407C" w:rsidRPr="008D56CD">
              <w:rPr>
                <w:sz w:val="20"/>
                <w:szCs w:val="20"/>
              </w:rPr>
              <w:t>skaźnik odpowiedzi obiektywnych (ORR) tj. odsetek pacjentów z odpowiedzią na leczenie w postaci pełnej odpowiedzi (CR) lub częściowej odpowiedzi (PR)</w:t>
            </w:r>
            <w:r w:rsidRPr="008D56CD">
              <w:rPr>
                <w:sz w:val="20"/>
                <w:szCs w:val="20"/>
              </w:rPr>
              <w:t>;</w:t>
            </w:r>
          </w:p>
          <w:p w14:paraId="28AA1F2C" w14:textId="34A862B6" w:rsidR="00CD40F0" w:rsidRPr="008D56CD" w:rsidRDefault="00CD40F0" w:rsidP="008D56CD">
            <w:pPr>
              <w:pStyle w:val="Akapitzlist"/>
              <w:numPr>
                <w:ilvl w:val="3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oczekiwane korzyści zdrowotne</w:t>
            </w:r>
          </w:p>
          <w:p w14:paraId="1C93A7AF" w14:textId="0D66DFC5" w:rsidR="003C002D" w:rsidRPr="008D56CD" w:rsidRDefault="005866F0" w:rsidP="008D56CD">
            <w:pPr>
              <w:pStyle w:val="Akapitzlist"/>
              <w:numPr>
                <w:ilvl w:val="4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m</w:t>
            </w:r>
            <w:r w:rsidR="003C002D" w:rsidRPr="008D56CD">
              <w:rPr>
                <w:sz w:val="20"/>
                <w:szCs w:val="20"/>
              </w:rPr>
              <w:t>ediana OS – 11,8 miesiąca</w:t>
            </w:r>
            <w:r w:rsidRPr="008D56CD">
              <w:rPr>
                <w:sz w:val="20"/>
                <w:szCs w:val="20"/>
              </w:rPr>
              <w:t>,</w:t>
            </w:r>
          </w:p>
          <w:p w14:paraId="6794A8C2" w14:textId="17CD3D77" w:rsidR="003C002D" w:rsidRPr="008D56CD" w:rsidRDefault="005866F0" w:rsidP="008D56CD">
            <w:pPr>
              <w:pStyle w:val="Akapitzlist"/>
              <w:numPr>
                <w:ilvl w:val="4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m</w:t>
            </w:r>
            <w:r w:rsidR="003C002D" w:rsidRPr="008D56CD">
              <w:rPr>
                <w:sz w:val="20"/>
                <w:szCs w:val="20"/>
              </w:rPr>
              <w:t>ediana PFS dla populacji ogólnej – 4,8 miesiąca</w:t>
            </w:r>
            <w:r w:rsidRPr="008D56CD">
              <w:rPr>
                <w:sz w:val="20"/>
                <w:szCs w:val="20"/>
              </w:rPr>
              <w:t>,</w:t>
            </w:r>
          </w:p>
          <w:p w14:paraId="33892234" w14:textId="68392AB2" w:rsidR="003C002D" w:rsidRPr="008D56CD" w:rsidRDefault="005866F0" w:rsidP="008D56CD">
            <w:pPr>
              <w:pStyle w:val="Akapitzlist"/>
              <w:numPr>
                <w:ilvl w:val="4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o</w:t>
            </w:r>
            <w:r w:rsidR="003C002D" w:rsidRPr="008D56CD">
              <w:rPr>
                <w:sz w:val="20"/>
                <w:szCs w:val="20"/>
              </w:rPr>
              <w:t>dsetek pacjentów z potwierdzoną CR/PR (ORR) – 31% leczonych</w:t>
            </w:r>
            <w:r w:rsidRPr="008D56CD">
              <w:rPr>
                <w:sz w:val="20"/>
                <w:szCs w:val="20"/>
              </w:rPr>
              <w:t>.</w:t>
            </w:r>
          </w:p>
          <w:p w14:paraId="70C6711B" w14:textId="5FF8F79E" w:rsidR="00CD40F0" w:rsidRPr="008D56CD" w:rsidRDefault="00CD40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Ocena bezpieczeństwa</w:t>
            </w:r>
          </w:p>
          <w:p w14:paraId="0AE2D00B" w14:textId="6A107C73" w:rsidR="00C47AD0" w:rsidRPr="008D56CD" w:rsidRDefault="00CD40F0" w:rsidP="008D56CD">
            <w:pPr>
              <w:pStyle w:val="Akapitzlist"/>
              <w:numPr>
                <w:ilvl w:val="3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działania niepożądane</w:t>
            </w:r>
            <w:r w:rsidR="005866F0" w:rsidRPr="008D56CD">
              <w:rPr>
                <w:sz w:val="20"/>
                <w:szCs w:val="20"/>
              </w:rPr>
              <w:t>.</w:t>
            </w:r>
          </w:p>
          <w:p w14:paraId="2137372A" w14:textId="14C1CE35" w:rsidR="00766318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G</w:t>
            </w:r>
            <w:r w:rsidR="00766318" w:rsidRPr="008D56CD">
              <w:rPr>
                <w:sz w:val="20"/>
                <w:szCs w:val="20"/>
              </w:rPr>
              <w:t>romadzenie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w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dokumentacji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medycznej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pacjenta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danych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dotyczących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monitorowania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leczenia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i</w:t>
            </w:r>
            <w:r w:rsidR="00EF348A" w:rsidRPr="008D56CD">
              <w:rPr>
                <w:sz w:val="20"/>
                <w:szCs w:val="20"/>
              </w:rPr>
              <w:t> </w:t>
            </w:r>
            <w:r w:rsidR="00766318" w:rsidRPr="008D56CD">
              <w:rPr>
                <w:sz w:val="20"/>
                <w:szCs w:val="20"/>
              </w:rPr>
              <w:t>każdorazowe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ich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przedst</w:t>
            </w:r>
            <w:r w:rsidR="00240BE1" w:rsidRPr="008D56CD">
              <w:rPr>
                <w:sz w:val="20"/>
                <w:szCs w:val="20"/>
              </w:rPr>
              <w:t>awianie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240BE1" w:rsidRPr="008D56CD">
              <w:rPr>
                <w:sz w:val="20"/>
                <w:szCs w:val="20"/>
              </w:rPr>
              <w:t>na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240BE1" w:rsidRPr="008D56CD">
              <w:rPr>
                <w:sz w:val="20"/>
                <w:szCs w:val="20"/>
              </w:rPr>
              <w:t>żądanie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240BE1" w:rsidRPr="008D56CD">
              <w:rPr>
                <w:sz w:val="20"/>
                <w:szCs w:val="20"/>
              </w:rPr>
              <w:t>kontrolerów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Narodowego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Funduszu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Zdrowia</w:t>
            </w:r>
            <w:r w:rsidRPr="008D56CD">
              <w:rPr>
                <w:sz w:val="20"/>
                <w:szCs w:val="20"/>
              </w:rPr>
              <w:t>.</w:t>
            </w:r>
          </w:p>
          <w:p w14:paraId="5E4BF875" w14:textId="1BED63E1" w:rsidR="00766318" w:rsidRPr="008D56CD" w:rsidRDefault="005866F0" w:rsidP="008D56CD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U</w:t>
            </w:r>
            <w:r w:rsidR="00766318" w:rsidRPr="008D56CD">
              <w:rPr>
                <w:sz w:val="20"/>
                <w:szCs w:val="20"/>
              </w:rPr>
              <w:t>zupełnienie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danych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zawartych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w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rejestrze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(SMPT)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dostępnym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za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pomocą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aplikacji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internetowej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udostępnionej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przez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OW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NFZ,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z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częstotliwością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zgodną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z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opisem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programu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oraz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na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zakończenie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leczenia</w:t>
            </w:r>
            <w:r w:rsidRPr="008D56CD">
              <w:rPr>
                <w:sz w:val="20"/>
                <w:szCs w:val="20"/>
              </w:rPr>
              <w:t>.</w:t>
            </w:r>
          </w:p>
          <w:p w14:paraId="2387952B" w14:textId="5D8C3E45" w:rsidR="005866F0" w:rsidRPr="00C117B1" w:rsidRDefault="005866F0" w:rsidP="00C117B1">
            <w:pPr>
              <w:pStyle w:val="Akapitzlist"/>
              <w:numPr>
                <w:ilvl w:val="1"/>
                <w:numId w:val="7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56CD">
              <w:rPr>
                <w:sz w:val="20"/>
                <w:szCs w:val="20"/>
              </w:rPr>
              <w:t>P</w:t>
            </w:r>
            <w:r w:rsidR="00766318" w:rsidRPr="008D56CD">
              <w:rPr>
                <w:sz w:val="20"/>
                <w:szCs w:val="20"/>
              </w:rPr>
              <w:t>rzekazywanie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informacji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sprawozdawczo-rozliczeniowych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do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NFZ: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informacje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przekazuje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się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do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NFZ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w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formie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papierowej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lub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w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formie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elektronicznej,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zgodnie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z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wymaganiami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opublikowanymi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="00766318" w:rsidRPr="008D56CD">
              <w:rPr>
                <w:sz w:val="20"/>
                <w:szCs w:val="20"/>
              </w:rPr>
              <w:t>przez</w:t>
            </w:r>
            <w:r w:rsidR="002803BD" w:rsidRPr="008D56CD">
              <w:rPr>
                <w:sz w:val="20"/>
                <w:szCs w:val="20"/>
              </w:rPr>
              <w:t xml:space="preserve"> </w:t>
            </w:r>
            <w:r w:rsidRPr="008D56CD">
              <w:rPr>
                <w:sz w:val="20"/>
                <w:szCs w:val="20"/>
              </w:rPr>
              <w:t>NFZ</w:t>
            </w:r>
            <w:r w:rsidR="00766318" w:rsidRPr="008D56CD">
              <w:rPr>
                <w:color w:val="FF0000"/>
                <w:sz w:val="20"/>
                <w:szCs w:val="20"/>
              </w:rPr>
              <w:t>.</w:t>
            </w:r>
          </w:p>
        </w:tc>
      </w:tr>
    </w:tbl>
    <w:p w14:paraId="01057836" w14:textId="77777777" w:rsidR="003866D1" w:rsidRPr="00060ECD" w:rsidRDefault="003866D1" w:rsidP="00486F50">
      <w:pPr>
        <w:rPr>
          <w:sz w:val="10"/>
        </w:rPr>
      </w:pPr>
    </w:p>
    <w:sectPr w:rsidR="003866D1" w:rsidRPr="00060ECD" w:rsidSect="002803BD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C5E21" w14:textId="77777777" w:rsidR="00A97B14" w:rsidRDefault="00A97B14" w:rsidP="00BF49D7">
      <w:r>
        <w:separator/>
      </w:r>
    </w:p>
  </w:endnote>
  <w:endnote w:type="continuationSeparator" w:id="0">
    <w:p w14:paraId="1A989F09" w14:textId="77777777" w:rsidR="00A97B14" w:rsidRDefault="00A97B14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E925D" w14:textId="77777777" w:rsidR="00A97B14" w:rsidRDefault="00A97B14" w:rsidP="00BF49D7">
      <w:r>
        <w:separator/>
      </w:r>
    </w:p>
  </w:footnote>
  <w:footnote w:type="continuationSeparator" w:id="0">
    <w:p w14:paraId="49B34403" w14:textId="77777777" w:rsidR="00A97B14" w:rsidRDefault="00A97B14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7528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C57AC5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ED3E7C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41C5D77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63A0833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909C2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CB83154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542189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B44E32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B35B17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5603018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5FF7BCA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176C4EC5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7C80529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BE6B63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19E2293B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F5088A"/>
    <w:multiLevelType w:val="hybridMultilevel"/>
    <w:tmpl w:val="111229F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03E5C"/>
    <w:multiLevelType w:val="hybridMultilevel"/>
    <w:tmpl w:val="1DB2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84DA3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663BF"/>
    <w:multiLevelType w:val="hybridMultilevel"/>
    <w:tmpl w:val="E70A0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EB5093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2A967851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FF1BF9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5D7A9F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E307C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34782C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4A265B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68F5C53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3CB76DC8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3D064B05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3D412223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3EA74BDF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3F8809D3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11E5934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2045E8C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44AC4EE8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46060915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67D69F3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4A7C30FC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A9B4E37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4AC07C49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4BE72FED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5A0C15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4E640993"/>
    <w:multiLevelType w:val="hybridMultilevel"/>
    <w:tmpl w:val="11122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E753635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453FC8"/>
    <w:multiLevelType w:val="hybridMultilevel"/>
    <w:tmpl w:val="1F3CA4C6"/>
    <w:lvl w:ilvl="0" w:tplc="E076C63C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E076C63C">
      <w:start w:val="1"/>
      <w:numFmt w:val="decimal"/>
      <w:lvlText w:val="%4)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7" w15:restartNumberingAfterBreak="0">
    <w:nsid w:val="4F4F3FC6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56E14B5B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E846D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5ABB7FF9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BC720C8"/>
    <w:multiLevelType w:val="hybridMultilevel"/>
    <w:tmpl w:val="B00C3716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59094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3" w15:restartNumberingAfterBreak="0">
    <w:nsid w:val="5F5A4533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4" w15:restartNumberingAfterBreak="0">
    <w:nsid w:val="6033492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60B55BEA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CF2E1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7" w15:restartNumberingAfterBreak="0">
    <w:nsid w:val="65C4566C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65EE36D2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6E22A6A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8387AFC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1" w15:restartNumberingAfterBreak="0">
    <w:nsid w:val="695654F5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" w15:restartNumberingAfterBreak="0">
    <w:nsid w:val="69D31356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6A051C8D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A0A5D10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5142FC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74B76BA1"/>
    <w:multiLevelType w:val="hybridMultilevel"/>
    <w:tmpl w:val="36826FAC"/>
    <w:lvl w:ilvl="0" w:tplc="1A62A0DA">
      <w:start w:val="10"/>
      <w:numFmt w:val="bullet"/>
      <w:lvlText w:val="•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7" w15:restartNumberingAfterBreak="0">
    <w:nsid w:val="752B3CA4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666022E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66D0F3A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97146D8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1" w15:restartNumberingAfterBreak="0">
    <w:nsid w:val="7BEF4BFC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2" w15:restartNumberingAfterBreak="0">
    <w:nsid w:val="7E2A6146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FF3710D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073093">
    <w:abstractNumId w:val="6"/>
  </w:num>
  <w:num w:numId="2" w16cid:durableId="1292130626">
    <w:abstractNumId w:val="52"/>
  </w:num>
  <w:num w:numId="3" w16cid:durableId="178743545">
    <w:abstractNumId w:val="38"/>
  </w:num>
  <w:num w:numId="4" w16cid:durableId="1990474231">
    <w:abstractNumId w:val="18"/>
  </w:num>
  <w:num w:numId="5" w16cid:durableId="1440223567">
    <w:abstractNumId w:val="1"/>
  </w:num>
  <w:num w:numId="6" w16cid:durableId="1785809651">
    <w:abstractNumId w:val="46"/>
  </w:num>
  <w:num w:numId="7" w16cid:durableId="1569807346">
    <w:abstractNumId w:val="37"/>
  </w:num>
  <w:num w:numId="8" w16cid:durableId="170343939">
    <w:abstractNumId w:val="58"/>
  </w:num>
  <w:num w:numId="9" w16cid:durableId="669337614">
    <w:abstractNumId w:val="53"/>
  </w:num>
  <w:num w:numId="10" w16cid:durableId="1262108887">
    <w:abstractNumId w:val="67"/>
  </w:num>
  <w:num w:numId="11" w16cid:durableId="1218397124">
    <w:abstractNumId w:val="9"/>
  </w:num>
  <w:num w:numId="12" w16cid:durableId="260723368">
    <w:abstractNumId w:val="23"/>
  </w:num>
  <w:num w:numId="13" w16cid:durableId="1399665931">
    <w:abstractNumId w:val="68"/>
  </w:num>
  <w:num w:numId="14" w16cid:durableId="894467366">
    <w:abstractNumId w:val="36"/>
  </w:num>
  <w:num w:numId="15" w16cid:durableId="917062279">
    <w:abstractNumId w:val="60"/>
  </w:num>
  <w:num w:numId="16" w16cid:durableId="1921131433">
    <w:abstractNumId w:val="51"/>
  </w:num>
  <w:num w:numId="17" w16cid:durableId="274291849">
    <w:abstractNumId w:val="61"/>
  </w:num>
  <w:num w:numId="18" w16cid:durableId="1482504083">
    <w:abstractNumId w:val="3"/>
  </w:num>
  <w:num w:numId="19" w16cid:durableId="1682969316">
    <w:abstractNumId w:val="13"/>
  </w:num>
  <w:num w:numId="20" w16cid:durableId="742261143">
    <w:abstractNumId w:val="16"/>
  </w:num>
  <w:num w:numId="21" w16cid:durableId="608896270">
    <w:abstractNumId w:val="64"/>
  </w:num>
  <w:num w:numId="22" w16cid:durableId="301736593">
    <w:abstractNumId w:val="72"/>
  </w:num>
  <w:num w:numId="23" w16cid:durableId="1082021587">
    <w:abstractNumId w:val="15"/>
  </w:num>
  <w:num w:numId="24" w16cid:durableId="2009288510">
    <w:abstractNumId w:val="10"/>
  </w:num>
  <w:num w:numId="25" w16cid:durableId="1401749762">
    <w:abstractNumId w:val="29"/>
  </w:num>
  <w:num w:numId="26" w16cid:durableId="1373001076">
    <w:abstractNumId w:val="48"/>
  </w:num>
  <w:num w:numId="27" w16cid:durableId="1140803369">
    <w:abstractNumId w:val="24"/>
  </w:num>
  <w:num w:numId="28" w16cid:durableId="806823344">
    <w:abstractNumId w:val="59"/>
  </w:num>
  <w:num w:numId="29" w16cid:durableId="1731033501">
    <w:abstractNumId w:val="54"/>
  </w:num>
  <w:num w:numId="30" w16cid:durableId="246379034">
    <w:abstractNumId w:val="12"/>
  </w:num>
  <w:num w:numId="31" w16cid:durableId="844898623">
    <w:abstractNumId w:val="27"/>
  </w:num>
  <w:num w:numId="32" w16cid:durableId="2098286862">
    <w:abstractNumId w:val="14"/>
  </w:num>
  <w:num w:numId="33" w16cid:durableId="1883902792">
    <w:abstractNumId w:val="19"/>
  </w:num>
  <w:num w:numId="34" w16cid:durableId="866139303">
    <w:abstractNumId w:val="22"/>
  </w:num>
  <w:num w:numId="35" w16cid:durableId="1512338096">
    <w:abstractNumId w:val="2"/>
  </w:num>
  <w:num w:numId="36" w16cid:durableId="1956911762">
    <w:abstractNumId w:val="47"/>
  </w:num>
  <w:num w:numId="37" w16cid:durableId="1544975266">
    <w:abstractNumId w:val="43"/>
  </w:num>
  <w:num w:numId="38" w16cid:durableId="632174082">
    <w:abstractNumId w:val="5"/>
  </w:num>
  <w:num w:numId="39" w16cid:durableId="2130275353">
    <w:abstractNumId w:val="4"/>
  </w:num>
  <w:num w:numId="40" w16cid:durableId="801924977">
    <w:abstractNumId w:val="39"/>
  </w:num>
  <w:num w:numId="41" w16cid:durableId="223222702">
    <w:abstractNumId w:val="57"/>
  </w:num>
  <w:num w:numId="42" w16cid:durableId="741219498">
    <w:abstractNumId w:val="32"/>
  </w:num>
  <w:num w:numId="43" w16cid:durableId="561404455">
    <w:abstractNumId w:val="62"/>
  </w:num>
  <w:num w:numId="44" w16cid:durableId="2035183449">
    <w:abstractNumId w:val="7"/>
  </w:num>
  <w:num w:numId="45" w16cid:durableId="921139627">
    <w:abstractNumId w:val="25"/>
  </w:num>
  <w:num w:numId="46" w16cid:durableId="1845587928">
    <w:abstractNumId w:val="26"/>
  </w:num>
  <w:num w:numId="47" w16cid:durableId="517668923">
    <w:abstractNumId w:val="70"/>
  </w:num>
  <w:num w:numId="48" w16cid:durableId="1164585589">
    <w:abstractNumId w:val="0"/>
  </w:num>
  <w:num w:numId="49" w16cid:durableId="876357768">
    <w:abstractNumId w:val="40"/>
  </w:num>
  <w:num w:numId="50" w16cid:durableId="2002268757">
    <w:abstractNumId w:val="63"/>
  </w:num>
  <w:num w:numId="51" w16cid:durableId="1684936638">
    <w:abstractNumId w:val="73"/>
  </w:num>
  <w:num w:numId="52" w16cid:durableId="808206168">
    <w:abstractNumId w:val="33"/>
  </w:num>
  <w:num w:numId="53" w16cid:durableId="91897460">
    <w:abstractNumId w:val="11"/>
  </w:num>
  <w:num w:numId="54" w16cid:durableId="2023117256">
    <w:abstractNumId w:val="35"/>
  </w:num>
  <w:num w:numId="55" w16cid:durableId="1185442913">
    <w:abstractNumId w:val="65"/>
  </w:num>
  <w:num w:numId="56" w16cid:durableId="1488865770">
    <w:abstractNumId w:val="8"/>
  </w:num>
  <w:num w:numId="57" w16cid:durableId="230385431">
    <w:abstractNumId w:val="42"/>
  </w:num>
  <w:num w:numId="58" w16cid:durableId="481849387">
    <w:abstractNumId w:val="45"/>
  </w:num>
  <w:num w:numId="59" w16cid:durableId="1160661390">
    <w:abstractNumId w:val="41"/>
  </w:num>
  <w:num w:numId="60" w16cid:durableId="116995227">
    <w:abstractNumId w:val="56"/>
  </w:num>
  <w:num w:numId="61" w16cid:durableId="1866360184">
    <w:abstractNumId w:val="34"/>
  </w:num>
  <w:num w:numId="62" w16cid:durableId="114905532">
    <w:abstractNumId w:val="69"/>
  </w:num>
  <w:num w:numId="63" w16cid:durableId="404031006">
    <w:abstractNumId w:val="55"/>
  </w:num>
  <w:num w:numId="64" w16cid:durableId="1739281100">
    <w:abstractNumId w:val="50"/>
  </w:num>
  <w:num w:numId="65" w16cid:durableId="473332827">
    <w:abstractNumId w:val="31"/>
  </w:num>
  <w:num w:numId="66" w16cid:durableId="164633727">
    <w:abstractNumId w:val="49"/>
  </w:num>
  <w:num w:numId="67" w16cid:durableId="1458840241">
    <w:abstractNumId w:val="30"/>
  </w:num>
  <w:num w:numId="68" w16cid:durableId="1534418193">
    <w:abstractNumId w:val="44"/>
  </w:num>
  <w:num w:numId="69" w16cid:durableId="433289288">
    <w:abstractNumId w:val="20"/>
  </w:num>
  <w:num w:numId="70" w16cid:durableId="110059247">
    <w:abstractNumId w:val="17"/>
  </w:num>
  <w:num w:numId="71" w16cid:durableId="100149010">
    <w:abstractNumId w:val="21"/>
  </w:num>
  <w:num w:numId="72" w16cid:durableId="571358031">
    <w:abstractNumId w:val="66"/>
  </w:num>
  <w:num w:numId="73" w16cid:durableId="920024701">
    <w:abstractNumId w:val="71"/>
  </w:num>
  <w:num w:numId="74" w16cid:durableId="414399215">
    <w:abstractNumId w:val="2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60ECD"/>
    <w:rsid w:val="000814F5"/>
    <w:rsid w:val="00081D8E"/>
    <w:rsid w:val="00084FB8"/>
    <w:rsid w:val="00093997"/>
    <w:rsid w:val="000A79AC"/>
    <w:rsid w:val="000B1655"/>
    <w:rsid w:val="000B7F22"/>
    <w:rsid w:val="000C36D5"/>
    <w:rsid w:val="000C4794"/>
    <w:rsid w:val="000D5B38"/>
    <w:rsid w:val="0010197E"/>
    <w:rsid w:val="00121D48"/>
    <w:rsid w:val="00133821"/>
    <w:rsid w:val="001361F1"/>
    <w:rsid w:val="0014162F"/>
    <w:rsid w:val="00144C47"/>
    <w:rsid w:val="00155825"/>
    <w:rsid w:val="00161905"/>
    <w:rsid w:val="00163ED3"/>
    <w:rsid w:val="001824BF"/>
    <w:rsid w:val="001843F9"/>
    <w:rsid w:val="00196B54"/>
    <w:rsid w:val="001B67B4"/>
    <w:rsid w:val="001C6C74"/>
    <w:rsid w:val="001E2B0A"/>
    <w:rsid w:val="001E3E14"/>
    <w:rsid w:val="001F2F10"/>
    <w:rsid w:val="001F7065"/>
    <w:rsid w:val="00221D34"/>
    <w:rsid w:val="00240BE1"/>
    <w:rsid w:val="00265363"/>
    <w:rsid w:val="002803BD"/>
    <w:rsid w:val="00281AD1"/>
    <w:rsid w:val="0028213B"/>
    <w:rsid w:val="002933E6"/>
    <w:rsid w:val="00293686"/>
    <w:rsid w:val="002B3B8C"/>
    <w:rsid w:val="002B44DE"/>
    <w:rsid w:val="002B6FEE"/>
    <w:rsid w:val="003037E3"/>
    <w:rsid w:val="00330EF9"/>
    <w:rsid w:val="0033120A"/>
    <w:rsid w:val="00343341"/>
    <w:rsid w:val="00347030"/>
    <w:rsid w:val="003832EE"/>
    <w:rsid w:val="00385391"/>
    <w:rsid w:val="003866D1"/>
    <w:rsid w:val="003965E1"/>
    <w:rsid w:val="003B3D43"/>
    <w:rsid w:val="003B7CF8"/>
    <w:rsid w:val="003C002D"/>
    <w:rsid w:val="003D03C4"/>
    <w:rsid w:val="003F3281"/>
    <w:rsid w:val="003F4A58"/>
    <w:rsid w:val="00406654"/>
    <w:rsid w:val="004311BB"/>
    <w:rsid w:val="00472B65"/>
    <w:rsid w:val="00476F7B"/>
    <w:rsid w:val="00486F50"/>
    <w:rsid w:val="00497A25"/>
    <w:rsid w:val="004A797A"/>
    <w:rsid w:val="004A79EF"/>
    <w:rsid w:val="004B0757"/>
    <w:rsid w:val="004F0FBD"/>
    <w:rsid w:val="00512373"/>
    <w:rsid w:val="00516934"/>
    <w:rsid w:val="00523C92"/>
    <w:rsid w:val="005257EA"/>
    <w:rsid w:val="00547315"/>
    <w:rsid w:val="00552791"/>
    <w:rsid w:val="005608C0"/>
    <w:rsid w:val="00565830"/>
    <w:rsid w:val="005667CD"/>
    <w:rsid w:val="00577F49"/>
    <w:rsid w:val="005866F0"/>
    <w:rsid w:val="005C5DA8"/>
    <w:rsid w:val="005E7E45"/>
    <w:rsid w:val="00604B8D"/>
    <w:rsid w:val="00627BDE"/>
    <w:rsid w:val="00642045"/>
    <w:rsid w:val="00642C07"/>
    <w:rsid w:val="00647AA3"/>
    <w:rsid w:val="00660EF0"/>
    <w:rsid w:val="006636BD"/>
    <w:rsid w:val="00690FA9"/>
    <w:rsid w:val="00693A9C"/>
    <w:rsid w:val="006B5357"/>
    <w:rsid w:val="006C111B"/>
    <w:rsid w:val="00735B6F"/>
    <w:rsid w:val="00743C43"/>
    <w:rsid w:val="00747EB0"/>
    <w:rsid w:val="00766318"/>
    <w:rsid w:val="00776189"/>
    <w:rsid w:val="00777117"/>
    <w:rsid w:val="007848C7"/>
    <w:rsid w:val="00786E34"/>
    <w:rsid w:val="007B34F4"/>
    <w:rsid w:val="007B407C"/>
    <w:rsid w:val="007C1ED5"/>
    <w:rsid w:val="007C4363"/>
    <w:rsid w:val="007C53ED"/>
    <w:rsid w:val="007D188D"/>
    <w:rsid w:val="007D2521"/>
    <w:rsid w:val="007D297F"/>
    <w:rsid w:val="007F34FE"/>
    <w:rsid w:val="007F66F8"/>
    <w:rsid w:val="008026DC"/>
    <w:rsid w:val="008118B8"/>
    <w:rsid w:val="00823367"/>
    <w:rsid w:val="0083097B"/>
    <w:rsid w:val="008850AA"/>
    <w:rsid w:val="00897C0B"/>
    <w:rsid w:val="008B6EA7"/>
    <w:rsid w:val="008C7AEB"/>
    <w:rsid w:val="008D56CD"/>
    <w:rsid w:val="008D7A25"/>
    <w:rsid w:val="008E5505"/>
    <w:rsid w:val="008F26E6"/>
    <w:rsid w:val="008F5F86"/>
    <w:rsid w:val="009116A6"/>
    <w:rsid w:val="00922555"/>
    <w:rsid w:val="00935247"/>
    <w:rsid w:val="00936C94"/>
    <w:rsid w:val="009406DD"/>
    <w:rsid w:val="009530A8"/>
    <w:rsid w:val="00953C98"/>
    <w:rsid w:val="009565FC"/>
    <w:rsid w:val="00963F9B"/>
    <w:rsid w:val="00964659"/>
    <w:rsid w:val="00966F29"/>
    <w:rsid w:val="00976786"/>
    <w:rsid w:val="00977709"/>
    <w:rsid w:val="0098012D"/>
    <w:rsid w:val="009878D2"/>
    <w:rsid w:val="0099145D"/>
    <w:rsid w:val="009A0663"/>
    <w:rsid w:val="009B0AA3"/>
    <w:rsid w:val="009B3886"/>
    <w:rsid w:val="009B4469"/>
    <w:rsid w:val="009B538D"/>
    <w:rsid w:val="009B77D8"/>
    <w:rsid w:val="00A23F3F"/>
    <w:rsid w:val="00A44BD5"/>
    <w:rsid w:val="00A45E05"/>
    <w:rsid w:val="00A46F81"/>
    <w:rsid w:val="00A6241F"/>
    <w:rsid w:val="00A70DFE"/>
    <w:rsid w:val="00A7130B"/>
    <w:rsid w:val="00A8178C"/>
    <w:rsid w:val="00A87743"/>
    <w:rsid w:val="00A97B14"/>
    <w:rsid w:val="00AB44EC"/>
    <w:rsid w:val="00AC3A93"/>
    <w:rsid w:val="00AC597A"/>
    <w:rsid w:val="00AF0963"/>
    <w:rsid w:val="00AF4EA2"/>
    <w:rsid w:val="00B03D0F"/>
    <w:rsid w:val="00B11596"/>
    <w:rsid w:val="00B152A6"/>
    <w:rsid w:val="00B160D1"/>
    <w:rsid w:val="00B32200"/>
    <w:rsid w:val="00B42D08"/>
    <w:rsid w:val="00B62877"/>
    <w:rsid w:val="00B66BAD"/>
    <w:rsid w:val="00B75363"/>
    <w:rsid w:val="00B819C7"/>
    <w:rsid w:val="00B844CA"/>
    <w:rsid w:val="00B85E60"/>
    <w:rsid w:val="00B900A4"/>
    <w:rsid w:val="00B90EB7"/>
    <w:rsid w:val="00BB08D1"/>
    <w:rsid w:val="00BC6CF9"/>
    <w:rsid w:val="00BD51B5"/>
    <w:rsid w:val="00BE3E75"/>
    <w:rsid w:val="00BF49D7"/>
    <w:rsid w:val="00C0762F"/>
    <w:rsid w:val="00C07DA7"/>
    <w:rsid w:val="00C117B1"/>
    <w:rsid w:val="00C2457C"/>
    <w:rsid w:val="00C2602F"/>
    <w:rsid w:val="00C43C2B"/>
    <w:rsid w:val="00C47AD0"/>
    <w:rsid w:val="00C51096"/>
    <w:rsid w:val="00C57FFB"/>
    <w:rsid w:val="00C60F36"/>
    <w:rsid w:val="00C6518D"/>
    <w:rsid w:val="00C65410"/>
    <w:rsid w:val="00C71B35"/>
    <w:rsid w:val="00C82603"/>
    <w:rsid w:val="00CA3B21"/>
    <w:rsid w:val="00CA491B"/>
    <w:rsid w:val="00CB3D45"/>
    <w:rsid w:val="00CB5855"/>
    <w:rsid w:val="00CB64FE"/>
    <w:rsid w:val="00CC26EC"/>
    <w:rsid w:val="00CD40F0"/>
    <w:rsid w:val="00CF4389"/>
    <w:rsid w:val="00D1140D"/>
    <w:rsid w:val="00D1157B"/>
    <w:rsid w:val="00D24D72"/>
    <w:rsid w:val="00D25AD2"/>
    <w:rsid w:val="00D81487"/>
    <w:rsid w:val="00D82650"/>
    <w:rsid w:val="00DA24DF"/>
    <w:rsid w:val="00DA6460"/>
    <w:rsid w:val="00DD03AB"/>
    <w:rsid w:val="00DE7F9E"/>
    <w:rsid w:val="00E23E9D"/>
    <w:rsid w:val="00E4743E"/>
    <w:rsid w:val="00E621D7"/>
    <w:rsid w:val="00E7549C"/>
    <w:rsid w:val="00E84E3D"/>
    <w:rsid w:val="00E9033B"/>
    <w:rsid w:val="00EA7FE1"/>
    <w:rsid w:val="00EC3AF9"/>
    <w:rsid w:val="00ED2459"/>
    <w:rsid w:val="00EE46A8"/>
    <w:rsid w:val="00EF348A"/>
    <w:rsid w:val="00F42A18"/>
    <w:rsid w:val="00F67349"/>
    <w:rsid w:val="00F70BC9"/>
    <w:rsid w:val="00F90D66"/>
    <w:rsid w:val="00FA42BD"/>
    <w:rsid w:val="00FA6C8B"/>
    <w:rsid w:val="00FD501D"/>
    <w:rsid w:val="019E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8032F"/>
  <w15:docId w15:val="{79EBAFB1-7C32-4E7A-B3A7-1615D342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19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A79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7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7AD0"/>
    <w:rPr>
      <w:b/>
      <w:bCs/>
    </w:rPr>
  </w:style>
  <w:style w:type="table" w:styleId="Tabela-Siatka">
    <w:name w:val="Table Grid"/>
    <w:basedOn w:val="Standardowy"/>
    <w:rsid w:val="00B3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619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1386</Words>
  <Characters>9011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Magdalena</dc:creator>
  <cp:lastModifiedBy>Królak-Buzakowska Joanna</cp:lastModifiedBy>
  <cp:revision>4</cp:revision>
  <cp:lastPrinted>2016-10-20T10:11:00Z</cp:lastPrinted>
  <dcterms:created xsi:type="dcterms:W3CDTF">2022-05-30T14:00:00Z</dcterms:created>
  <dcterms:modified xsi:type="dcterms:W3CDTF">2022-05-30T14:23:00Z</dcterms:modified>
</cp:coreProperties>
</file>